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68" w:afterLines="150" w:line="400" w:lineRule="exact"/>
        <w:rPr>
          <w:rFonts w:ascii="宋体"/>
          <w:color w:val="000000"/>
          <w:sz w:val="24"/>
          <w:szCs w:val="24"/>
        </w:rPr>
      </w:pPr>
      <w:r>
        <w:rPr>
          <w:rFonts w:hint="eastAsia" w:ascii="宋体" w:hAnsi="宋体" w:cs="宋体"/>
          <w:color w:val="000000"/>
          <w:sz w:val="24"/>
          <w:szCs w:val="24"/>
        </w:rPr>
        <w:t>证券代码：</w:t>
      </w:r>
      <w:r>
        <w:rPr>
          <w:rFonts w:ascii="宋体" w:hAnsi="宋体" w:cs="宋体"/>
          <w:color w:val="000000"/>
          <w:sz w:val="24"/>
          <w:szCs w:val="24"/>
        </w:rPr>
        <w:t xml:space="preserve">002643                               </w:t>
      </w:r>
      <w:r>
        <w:rPr>
          <w:rFonts w:hint="eastAsia" w:ascii="宋体" w:hAnsi="宋体" w:cs="宋体"/>
          <w:color w:val="000000"/>
          <w:sz w:val="24"/>
          <w:szCs w:val="24"/>
        </w:rPr>
        <w:t xml:space="preserve">                     证券简称：万润股份</w:t>
      </w:r>
    </w:p>
    <w:p>
      <w:pPr>
        <w:spacing w:before="156" w:beforeLines="50" w:after="156" w:afterLines="50" w:line="400" w:lineRule="exact"/>
        <w:jc w:val="center"/>
        <w:rPr>
          <w:rFonts w:ascii="宋体"/>
          <w:b/>
          <w:bCs/>
          <w:color w:val="000000"/>
          <w:sz w:val="32"/>
          <w:szCs w:val="32"/>
        </w:rPr>
      </w:pPr>
      <w:r>
        <w:rPr>
          <w:rFonts w:hint="eastAsia" w:ascii="宋体" w:hAnsi="宋体" w:cs="宋体"/>
          <w:b/>
          <w:bCs/>
          <w:color w:val="000000"/>
          <w:sz w:val="32"/>
          <w:szCs w:val="32"/>
        </w:rPr>
        <w:t>中节能万润股份有限公司投资者关系活动记录表</w:t>
      </w:r>
    </w:p>
    <w:p>
      <w:pPr>
        <w:spacing w:line="400" w:lineRule="exact"/>
        <w:rPr>
          <w:rFonts w:hint="default" w:ascii="宋体" w:eastAsia="宋体"/>
          <w:color w:val="000000"/>
          <w:sz w:val="24"/>
          <w:szCs w:val="24"/>
          <w:lang w:val="en-US" w:eastAsia="zh-CN"/>
        </w:rPr>
      </w:pPr>
      <w:r>
        <w:rPr>
          <w:rFonts w:ascii="宋体" w:hAnsi="宋体" w:cs="宋体"/>
          <w:color w:val="000000"/>
          <w:sz w:val="24"/>
          <w:szCs w:val="24"/>
        </w:rPr>
        <w:t xml:space="preserve">                                                        </w:t>
      </w:r>
      <w:r>
        <w:rPr>
          <w:rFonts w:hint="eastAsia" w:ascii="宋体" w:hAnsi="宋体" w:cs="宋体"/>
          <w:color w:val="000000"/>
          <w:sz w:val="24"/>
          <w:szCs w:val="24"/>
        </w:rPr>
        <w:t xml:space="preserve">            编号：</w:t>
      </w:r>
      <w:r>
        <w:rPr>
          <w:rFonts w:hint="eastAsia" w:ascii="宋体" w:hAnsi="宋体" w:cs="宋体"/>
          <w:color w:val="000000"/>
          <w:sz w:val="24"/>
          <w:szCs w:val="24"/>
          <w:highlight w:val="none"/>
          <w:lang w:eastAsia="zh-CN"/>
        </w:rPr>
        <w:t>2026</w:t>
      </w:r>
      <w:r>
        <w:rPr>
          <w:rFonts w:hint="eastAsia" w:ascii="宋体" w:hAnsi="宋体" w:cs="宋体"/>
          <w:color w:val="000000"/>
          <w:sz w:val="24"/>
          <w:szCs w:val="24"/>
          <w:highlight w:val="none"/>
          <w:lang w:val="en-US" w:eastAsia="zh-CN"/>
        </w:rPr>
        <w:t>0630</w:t>
      </w:r>
    </w:p>
    <w:tbl>
      <w:tblPr>
        <w:tblStyle w:val="12"/>
        <w:tblW w:w="10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3770"/>
        <w:gridCol w:w="4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color w:val="000000"/>
                <w:kern w:val="0"/>
                <w:sz w:val="24"/>
                <w:szCs w:val="24"/>
              </w:rPr>
            </w:pPr>
            <w:r>
              <w:rPr>
                <w:rFonts w:hint="eastAsia" w:ascii="宋体" w:hAnsi="宋体" w:cs="宋体"/>
                <w:color w:val="000000"/>
                <w:kern w:val="0"/>
                <w:sz w:val="24"/>
                <w:szCs w:val="24"/>
              </w:rPr>
              <w:t>投资者关系活动类别</w:t>
            </w:r>
          </w:p>
        </w:tc>
        <w:tc>
          <w:tcPr>
            <w:tcW w:w="7800" w:type="dxa"/>
            <w:gridSpan w:val="2"/>
            <w:tcBorders>
              <w:top w:val="single" w:color="auto" w:sz="4" w:space="0"/>
              <w:left w:val="single" w:color="auto" w:sz="4" w:space="0"/>
              <w:bottom w:val="single" w:color="auto" w:sz="4" w:space="0"/>
              <w:right w:val="single" w:color="auto" w:sz="4" w:space="0"/>
            </w:tcBorders>
            <w:vAlign w:val="top"/>
          </w:tcPr>
          <w:p>
            <w:pPr>
              <w:spacing w:line="480" w:lineRule="atLeast"/>
              <w:rPr>
                <w:rFonts w:hint="eastAsia"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 xml:space="preserve">特定对象调研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     </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分析师会议</w:t>
            </w:r>
          </w:p>
          <w:p>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4"/>
                <w:szCs w:val="24"/>
              </w:rPr>
              <w:t>媒体采访</w:t>
            </w:r>
            <w:r>
              <w:rPr>
                <w:rFonts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ascii="宋体" w:hAnsi="宋体" w:cs="宋体"/>
                <w:kern w:val="0"/>
                <w:sz w:val="24"/>
                <w:szCs w:val="24"/>
              </w:rPr>
              <w:t xml:space="preserve">    </w:t>
            </w:r>
            <w:r>
              <w:rPr>
                <w:rFonts w:hint="eastAsia" w:ascii="宋体" w:hAnsi="宋体" w:cs="宋体"/>
                <w:color w:val="000000"/>
                <w:kern w:val="0"/>
                <w:sz w:val="24"/>
                <w:szCs w:val="24"/>
              </w:rPr>
              <w:t>□</w:t>
            </w:r>
            <w:r>
              <w:rPr>
                <w:rFonts w:hint="eastAsia" w:ascii="宋体" w:hAnsi="宋体" w:cs="宋体"/>
                <w:kern w:val="0"/>
                <w:sz w:val="24"/>
                <w:szCs w:val="24"/>
              </w:rPr>
              <w:t>业绩说明会</w:t>
            </w:r>
          </w:p>
          <w:p>
            <w:pPr>
              <w:spacing w:line="480" w:lineRule="atLeast"/>
              <w:rPr>
                <w:rFonts w:hint="eastAsia" w:ascii="宋体" w:hAnsi="宋体" w:cs="宋体"/>
                <w:color w:val="000000"/>
                <w:kern w:val="0"/>
                <w:sz w:val="24"/>
                <w:szCs w:val="24"/>
              </w:rPr>
            </w:pPr>
            <w:r>
              <w:rPr>
                <w:rFonts w:hint="eastAsia" w:ascii="宋体" w:hAnsi="宋体" w:cs="宋体"/>
                <w:color w:val="000000"/>
                <w:kern w:val="0"/>
                <w:sz w:val="24"/>
                <w:szCs w:val="24"/>
              </w:rPr>
              <w:t xml:space="preserve">□新闻发布会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    □路演活动</w:t>
            </w:r>
          </w:p>
          <w:p>
            <w:pPr>
              <w:tabs>
                <w:tab w:val="left" w:pos="3045"/>
                <w:tab w:val="center" w:pos="3199"/>
              </w:tabs>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4"/>
                <w:szCs w:val="24"/>
              </w:rPr>
              <w:t>现场参观</w:t>
            </w:r>
          </w:p>
          <w:p>
            <w:pPr>
              <w:keepNext w:val="0"/>
              <w:keepLines w:val="0"/>
              <w:pageBreakBefore w:val="0"/>
              <w:widowControl w:val="0"/>
              <w:tabs>
                <w:tab w:val="center" w:pos="3199"/>
              </w:tabs>
              <w:kinsoku/>
              <w:wordWrap/>
              <w:overflowPunct/>
              <w:topLinePunct w:val="0"/>
              <w:autoSpaceDE/>
              <w:autoSpaceDN/>
              <w:bidi w:val="0"/>
              <w:adjustRightInd/>
              <w:snapToGrid/>
              <w:spacing w:after="157" w:afterLines="50" w:line="480" w:lineRule="atLeast"/>
              <w:textAlignment w:val="auto"/>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4"/>
                <w:szCs w:val="24"/>
              </w:rPr>
              <w:t>其他</w:t>
            </w:r>
            <w:r>
              <w:rPr>
                <w:rFonts w:ascii="宋体" w:hAnsi="宋体" w:cs="宋体"/>
                <w:kern w:val="0"/>
                <w:sz w:val="24"/>
                <w:szCs w:val="24"/>
              </w:rPr>
              <w:t xml:space="preserve"> </w:t>
            </w:r>
            <w:r>
              <w:rPr>
                <w:rFonts w:hint="eastAsia" w:ascii="宋体" w:hAnsi="宋体" w:cs="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活动参与人员</w:t>
            </w:r>
          </w:p>
        </w:tc>
        <w:tc>
          <w:tcPr>
            <w:tcW w:w="377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华创证券：姚德昌、刘隐、吴昱颖、吴坤铭</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安华农业保险：张放</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北京沣沛：孙冠球</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北京宏道：孙博文</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北京鸿道：方云龙</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财通证券：李真</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承珞投资：林田心</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东方证券：蒋蛟龙</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方正证券：刘然</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川海私募基金：车雨萱</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富敦投资：刘逸飞</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spacing w:val="0"/>
                <w:sz w:val="24"/>
                <w:szCs w:val="24"/>
                <w:lang w:val="en-US" w:eastAsia="zh-CN"/>
              </w:rPr>
            </w:pPr>
            <w:r>
              <w:rPr>
                <w:rFonts w:hint="default"/>
                <w:spacing w:val="0"/>
                <w:sz w:val="24"/>
                <w:szCs w:val="24"/>
                <w:lang w:val="en-US" w:eastAsia="zh-CN"/>
              </w:rPr>
              <w:t>富国基金</w:t>
            </w:r>
            <w:r>
              <w:rPr>
                <w:rFonts w:hint="eastAsia"/>
                <w:spacing w:val="0"/>
                <w:sz w:val="24"/>
                <w:szCs w:val="24"/>
                <w:lang w:val="en-US" w:eastAsia="zh-CN"/>
              </w:rPr>
              <w:t>：沈衡、王佳晨</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光大保德信基金：林晓枫</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光大证券：刘勇</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广东宝新投资：乐梦琦</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广州致远私募：刘力睿</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default"/>
                <w:spacing w:val="0"/>
                <w:sz w:val="24"/>
                <w:szCs w:val="24"/>
                <w:lang w:val="en-US" w:eastAsia="zh-CN"/>
              </w:rPr>
              <w:t>国泰基金</w:t>
            </w:r>
            <w:r>
              <w:rPr>
                <w:rFonts w:hint="eastAsia"/>
                <w:spacing w:val="0"/>
                <w:sz w:val="24"/>
                <w:szCs w:val="24"/>
                <w:lang w:val="en-US" w:eastAsia="zh-CN"/>
              </w:rPr>
              <w:t>：饶玉涵</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国泰君安：刘汉思</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国新证券：高伟绚</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国元证券：赵杰强</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海南翎展私募基金：邵琮元</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海南上善如是：孙磊、曲芳凝</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弘毅远方：赵阳</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泓铭资本：王燦</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鸿商资本：缪扬帆</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华宝基金：易镜明</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华龙证券：詹承启</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default"/>
                <w:spacing w:val="0"/>
                <w:sz w:val="24"/>
                <w:szCs w:val="24"/>
                <w:lang w:val="en-US" w:eastAsia="zh-CN"/>
              </w:rPr>
              <w:t>华泰资产</w:t>
            </w:r>
            <w:r>
              <w:rPr>
                <w:rFonts w:hint="eastAsia"/>
                <w:spacing w:val="0"/>
                <w:sz w:val="24"/>
                <w:szCs w:val="24"/>
                <w:lang w:val="en-US" w:eastAsia="zh-CN"/>
              </w:rPr>
              <w:t>：吕业青、黄俊岭</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华夏理财：黄麻</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晖锐私募：顾承虎</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建信基金：徐文琪</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康曼德资本：陈庆平</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兰慕资产：李任翾</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明世伙伴基金：孙勇</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default"/>
                <w:spacing w:val="0"/>
                <w:sz w:val="24"/>
                <w:szCs w:val="24"/>
                <w:lang w:val="en-US" w:eastAsia="zh-CN"/>
              </w:rPr>
              <w:t>南方基金</w:t>
            </w:r>
            <w:r>
              <w:rPr>
                <w:rFonts w:hint="eastAsia"/>
                <w:spacing w:val="0"/>
                <w:sz w:val="24"/>
                <w:szCs w:val="24"/>
                <w:lang w:val="en-US" w:eastAsia="zh-CN"/>
              </w:rPr>
              <w:t>：李心宓、郑勇</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default"/>
                <w:spacing w:val="0"/>
                <w:sz w:val="24"/>
                <w:szCs w:val="24"/>
                <w:lang w:val="en-US" w:eastAsia="zh-CN"/>
              </w:rPr>
              <w:t>日胜隆资产</w:t>
            </w:r>
            <w:r>
              <w:rPr>
                <w:rFonts w:hint="eastAsia"/>
                <w:spacing w:val="0"/>
                <w:sz w:val="24"/>
                <w:szCs w:val="24"/>
                <w:lang w:val="en-US" w:eastAsia="zh-CN"/>
              </w:rPr>
              <w:t>：李喜月、刘安琪、王少波、王华</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default"/>
                <w:spacing w:val="0"/>
                <w:sz w:val="24"/>
                <w:szCs w:val="24"/>
                <w:lang w:val="en-US" w:eastAsia="zh-CN"/>
              </w:rPr>
              <w:t>融通基金</w:t>
            </w:r>
            <w:r>
              <w:rPr>
                <w:rFonts w:hint="eastAsia"/>
                <w:spacing w:val="0"/>
                <w:sz w:val="24"/>
                <w:szCs w:val="24"/>
                <w:lang w:val="en-US" w:eastAsia="zh-CN"/>
              </w:rPr>
              <w:t>：李文海</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厦门中略投资：姚迪</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上海东恺投资：李威</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spacing w:val="0"/>
                <w:sz w:val="24"/>
                <w:szCs w:val="24"/>
                <w:lang w:val="en-US" w:eastAsia="zh-CN"/>
              </w:rPr>
            </w:pPr>
            <w:r>
              <w:rPr>
                <w:rFonts w:hint="eastAsia" w:ascii="Times New Roman" w:hAnsi="Times New Roman" w:cs="Times New Roman"/>
                <w:spacing w:val="0"/>
                <w:kern w:val="2"/>
                <w:sz w:val="24"/>
                <w:szCs w:val="24"/>
                <w:lang w:val="en-US" w:eastAsia="zh-CN" w:bidi="ar-SA"/>
              </w:rPr>
              <w:t>Beijing FY Private Fund：徐余颛、杜浩东</w:t>
            </w:r>
          </w:p>
        </w:tc>
        <w:tc>
          <w:tcPr>
            <w:tcW w:w="4030"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上海峰境私募：潘峰</w:t>
            </w:r>
          </w:p>
          <w:p>
            <w:pPr>
              <w:pStyle w:val="2"/>
              <w:adjustRightInd w:val="0"/>
              <w:snapToGrid w:val="0"/>
              <w:spacing w:line="400" w:lineRule="exact"/>
              <w:ind w:firstLine="0"/>
              <w:rPr>
                <w:rFonts w:hint="eastAsia"/>
                <w:spacing w:val="0"/>
                <w:sz w:val="24"/>
              </w:rPr>
            </w:pPr>
            <w:r>
              <w:rPr>
                <w:rFonts w:hint="eastAsia"/>
                <w:spacing w:val="0"/>
                <w:sz w:val="24"/>
                <w:szCs w:val="24"/>
                <w:lang w:val="en-US" w:eastAsia="zh-CN"/>
              </w:rPr>
              <w:t>上海复胜资产：赵超</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上海高毅资产：文小锋</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上海歌汝私募：应晓立</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上海混沌投资：傅刚</w:t>
            </w:r>
          </w:p>
          <w:p>
            <w:pPr>
              <w:pStyle w:val="2"/>
              <w:adjustRightInd w:val="0"/>
              <w:snapToGrid w:val="0"/>
              <w:spacing w:line="400" w:lineRule="exact"/>
              <w:ind w:firstLine="0"/>
              <w:rPr>
                <w:rFonts w:hint="eastAsia"/>
                <w:spacing w:val="0"/>
                <w:sz w:val="24"/>
                <w:szCs w:val="24"/>
                <w:lang w:val="en-US" w:eastAsia="zh-CN"/>
              </w:rPr>
            </w:pPr>
            <w:r>
              <w:rPr>
                <w:rFonts w:hint="eastAsia"/>
                <w:spacing w:val="0"/>
                <w:sz w:val="24"/>
                <w:szCs w:val="24"/>
                <w:lang w:val="en-US" w:eastAsia="zh-CN"/>
              </w:rPr>
              <w:t>聚鸣投资：陈奇</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磐厚投资：孟庆锋、胡建芳、叶长青</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上海勤辰私募：崔莹</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上海筌笠资产：刘金磊</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上海尚雅投资：周济海</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松熙私募基金：葛新宇</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途灵资产：赵梓峰</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上海五中私募基金：张正权</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上海信托：陆方</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驭秉投资：袁思使</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煜德投资：孙佳丽</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上汽颀臻：钟功焕</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申万菱信：徐巡</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国源信达资本：陈继业</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金斧子资本：鄢良浚</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雷丰私募：杨湘敏</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深大成投资：刘伟</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易鑫安资产：王晓卓</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禧悦投资：王秀平</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先锋基金：孙卫党</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新华基金：俞佳莹、董晨阳</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新华资产：陈谦</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信达澳亚基金：何静</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旭松资本：任宇震</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长城财富：杨海达</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长信基金：朱黎明</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default"/>
                <w:spacing w:val="0"/>
                <w:sz w:val="24"/>
                <w:szCs w:val="24"/>
                <w:lang w:val="en-US" w:eastAsia="zh-CN"/>
              </w:rPr>
              <w:t>招商基金</w:t>
            </w:r>
            <w:r>
              <w:rPr>
                <w:rFonts w:hint="eastAsia"/>
                <w:spacing w:val="0"/>
                <w:sz w:val="24"/>
                <w:szCs w:val="24"/>
                <w:lang w:val="en-US" w:eastAsia="zh-CN"/>
              </w:rPr>
              <w:t>：李虒</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招商证券：卢参参、孙妤</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贝乐昇投资：孙秋阳</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浙商证券：翁晋翀</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default"/>
                <w:spacing w:val="0"/>
                <w:sz w:val="24"/>
                <w:szCs w:val="24"/>
                <w:lang w:val="en-US" w:eastAsia="zh-CN"/>
              </w:rPr>
              <w:t>中承东方</w:t>
            </w:r>
            <w:r>
              <w:rPr>
                <w:rFonts w:hint="eastAsia"/>
                <w:spacing w:val="0"/>
                <w:sz w:val="24"/>
                <w:szCs w:val="24"/>
                <w:lang w:val="en-US" w:eastAsia="zh-CN"/>
              </w:rPr>
              <w:t>：魏志鹏</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spacing w:val="0"/>
                <w:sz w:val="24"/>
                <w:szCs w:val="24"/>
                <w:lang w:val="en-US" w:eastAsia="zh-CN"/>
              </w:rPr>
            </w:pPr>
            <w:r>
              <w:rPr>
                <w:rFonts w:hint="eastAsia"/>
                <w:spacing w:val="0"/>
                <w:sz w:val="24"/>
                <w:szCs w:val="24"/>
                <w:lang w:val="en-US" w:eastAsia="zh-CN"/>
              </w:rPr>
              <w:t>中电投先：郑一宁</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中国人寿：孙海淦、杨琳</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中航基金：王森</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中金公司：胡迪</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中信证券：林峰</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众行远基金：李宣霖</w:t>
            </w:r>
          </w:p>
          <w:p>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宋体" w:cs="Times New Roman"/>
                <w:spacing w:val="0"/>
                <w:kern w:val="2"/>
                <w:sz w:val="24"/>
                <w:szCs w:val="24"/>
                <w:lang w:val="en-US" w:eastAsia="zh-CN" w:bidi="ar-SA"/>
              </w:rPr>
            </w:pPr>
            <w:r>
              <w:rPr>
                <w:rFonts w:hint="eastAsia" w:ascii="Times New Roman" w:hAnsi="Times New Roman" w:cs="Times New Roman"/>
                <w:spacing w:val="0"/>
                <w:kern w:val="2"/>
                <w:sz w:val="24"/>
                <w:szCs w:val="24"/>
                <w:lang w:val="en-US" w:eastAsia="zh-CN" w:bidi="ar-SA"/>
              </w:rPr>
              <w:t>国金证券：王明辉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color w:val="000000"/>
                <w:kern w:val="0"/>
                <w:sz w:val="24"/>
                <w:szCs w:val="24"/>
              </w:rPr>
            </w:pPr>
            <w:r>
              <w:rPr>
                <w:rFonts w:hint="eastAsia" w:ascii="宋体" w:hAnsi="宋体" w:cs="宋体"/>
                <w:color w:val="000000"/>
                <w:kern w:val="0"/>
                <w:sz w:val="24"/>
                <w:szCs w:val="24"/>
                <w:lang w:val="en-US" w:eastAsia="zh-CN"/>
              </w:rPr>
              <w:t>时间</w:t>
            </w:r>
          </w:p>
        </w:tc>
        <w:tc>
          <w:tcPr>
            <w:tcW w:w="7800" w:type="dxa"/>
            <w:gridSpan w:val="2"/>
            <w:tcBorders>
              <w:top w:val="single" w:color="auto" w:sz="4" w:space="0"/>
              <w:left w:val="single" w:color="auto" w:sz="4" w:space="0"/>
              <w:bottom w:val="single" w:color="auto" w:sz="4" w:space="0"/>
              <w:right w:val="single" w:color="auto" w:sz="4" w:space="0"/>
            </w:tcBorders>
            <w:vAlign w:val="top"/>
          </w:tcPr>
          <w:p>
            <w:pPr>
              <w:spacing w:line="480" w:lineRule="atLeast"/>
              <w:rPr>
                <w:rFonts w:hint="default" w:ascii="宋体" w:eastAsia="宋体" w:cs="宋体"/>
                <w:color w:val="000000"/>
                <w:kern w:val="0"/>
                <w:sz w:val="24"/>
                <w:szCs w:val="24"/>
                <w:lang w:val="en-US" w:eastAsia="zh-CN"/>
              </w:rPr>
            </w:pPr>
            <w:r>
              <w:rPr>
                <w:rFonts w:hint="eastAsia" w:ascii="宋体" w:hAnsi="宋体" w:cs="宋体"/>
                <w:color w:val="000000"/>
                <w:kern w:val="0"/>
                <w:sz w:val="24"/>
                <w:szCs w:val="24"/>
                <w:lang w:eastAsia="zh-CN"/>
              </w:rPr>
              <w:t>2026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rPr>
              <w:t>月</w:t>
            </w:r>
            <w:r>
              <w:rPr>
                <w:rFonts w:hint="eastAsia" w:ascii="宋体" w:hAnsi="宋体" w:cs="宋体"/>
                <w:color w:val="000000"/>
                <w:kern w:val="0"/>
                <w:sz w:val="24"/>
                <w:szCs w:val="24"/>
                <w:lang w:val="en-US" w:eastAsia="zh-CN"/>
              </w:rPr>
              <w:t>30</w:t>
            </w:r>
            <w:r>
              <w:rPr>
                <w:rFonts w:hint="eastAsia" w:ascii="宋体" w:hAnsi="宋体" w:eastAsia="宋体" w:cs="宋体"/>
                <w:color w:val="000000"/>
                <w:kern w:val="0"/>
                <w:sz w:val="24"/>
                <w:szCs w:val="24"/>
              </w:rPr>
              <w:t xml:space="preserve">日 </w:t>
            </w:r>
            <w:r>
              <w:rPr>
                <w:rFonts w:hint="eastAsia" w:ascii="宋体" w:hAnsi="宋体" w:eastAsia="宋体" w:cs="宋体"/>
                <w:color w:val="000000"/>
                <w:kern w:val="0"/>
                <w:sz w:val="24"/>
                <w:szCs w:val="24"/>
                <w:lang w:val="en-US" w:eastAsia="zh-CN"/>
              </w:rPr>
              <w:t>1</w:t>
            </w: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lang w:val="en-US" w:eastAsia="zh-CN"/>
              </w:rPr>
              <w:t>:</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lang w:val="en-US" w:eastAsia="zh-CN"/>
              </w:rPr>
              <w:t>0~1</w:t>
            </w:r>
            <w:r>
              <w:rPr>
                <w:rFonts w:hint="eastAsia" w:ascii="宋体" w:hAnsi="宋体" w:cs="宋体"/>
                <w:color w:val="000000"/>
                <w:kern w:val="0"/>
                <w:sz w:val="24"/>
                <w:szCs w:val="24"/>
                <w:lang w:val="en-US" w:eastAsia="zh-CN"/>
              </w:rPr>
              <w:t>7</w:t>
            </w:r>
            <w:r>
              <w:rPr>
                <w:rFonts w:hint="eastAsia" w:ascii="宋体" w:hAnsi="宋体" w:eastAsia="宋体" w:cs="宋体"/>
                <w:color w:val="000000"/>
                <w:kern w:val="0"/>
                <w:sz w:val="24"/>
                <w:szCs w:val="24"/>
                <w:lang w:val="en-US" w:eastAsia="zh-CN"/>
              </w:rPr>
              <w:t>:</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color w:val="000000"/>
                <w:kern w:val="0"/>
                <w:sz w:val="24"/>
                <w:szCs w:val="24"/>
              </w:rPr>
            </w:pPr>
            <w:r>
              <w:rPr>
                <w:rFonts w:hint="eastAsia" w:ascii="宋体" w:hAnsi="宋体" w:cs="宋体"/>
                <w:color w:val="000000"/>
                <w:kern w:val="0"/>
                <w:sz w:val="24"/>
                <w:szCs w:val="24"/>
                <w:lang w:val="en-US" w:eastAsia="zh-CN"/>
              </w:rPr>
              <w:t>地点</w:t>
            </w:r>
          </w:p>
        </w:tc>
        <w:tc>
          <w:tcPr>
            <w:tcW w:w="7800" w:type="dxa"/>
            <w:gridSpan w:val="2"/>
            <w:tcBorders>
              <w:top w:val="single" w:color="auto" w:sz="4" w:space="0"/>
              <w:left w:val="single" w:color="auto" w:sz="4" w:space="0"/>
              <w:bottom w:val="single" w:color="auto" w:sz="4" w:space="0"/>
              <w:right w:val="single" w:color="auto" w:sz="4" w:space="0"/>
            </w:tcBorders>
            <w:vAlign w:val="top"/>
          </w:tcPr>
          <w:p>
            <w:pPr>
              <w:spacing w:line="480" w:lineRule="atLeast"/>
              <w:rPr>
                <w:rFonts w:hint="eastAsia" w:ascii="宋体" w:eastAsia="宋体"/>
                <w:color w:val="000000"/>
                <w:kern w:val="0"/>
                <w:sz w:val="24"/>
                <w:szCs w:val="24"/>
                <w:lang w:val="en-US" w:eastAsia="zh-CN"/>
              </w:rPr>
            </w:pPr>
            <w:r>
              <w:rPr>
                <w:rFonts w:hint="eastAsia" w:ascii="宋体" w:hAnsi="宋体" w:cs="宋体"/>
                <w:color w:val="000000"/>
                <w:kern w:val="0"/>
                <w:sz w:val="24"/>
                <w:szCs w:val="24"/>
                <w:lang w:eastAsia="zh-CN"/>
              </w:rPr>
              <w:t>中节能万润股份有限公司本部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形式</w:t>
            </w:r>
          </w:p>
        </w:tc>
        <w:tc>
          <w:tcPr>
            <w:tcW w:w="7800" w:type="dxa"/>
            <w:gridSpan w:val="2"/>
            <w:tcBorders>
              <w:top w:val="single" w:color="auto" w:sz="4" w:space="0"/>
              <w:left w:val="single" w:color="auto" w:sz="4" w:space="0"/>
              <w:bottom w:val="single" w:color="auto" w:sz="4" w:space="0"/>
              <w:right w:val="single" w:color="auto" w:sz="4" w:space="0"/>
            </w:tcBorders>
            <w:vAlign w:val="top"/>
          </w:tcPr>
          <w:p>
            <w:pPr>
              <w:spacing w:line="480" w:lineRule="atLeas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线上会议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color w:val="000000"/>
                <w:kern w:val="0"/>
                <w:sz w:val="24"/>
                <w:szCs w:val="24"/>
              </w:rPr>
            </w:pPr>
            <w:r>
              <w:rPr>
                <w:rFonts w:hint="eastAsia" w:ascii="宋体" w:hAnsi="宋体" w:cs="宋体"/>
                <w:color w:val="000000"/>
                <w:kern w:val="0"/>
                <w:sz w:val="24"/>
                <w:szCs w:val="24"/>
                <w:lang w:val="en-US" w:eastAsia="zh-CN"/>
              </w:rPr>
              <w:t>上市公司接待人员姓名</w:t>
            </w:r>
          </w:p>
        </w:tc>
        <w:tc>
          <w:tcPr>
            <w:tcW w:w="7800" w:type="dxa"/>
            <w:gridSpan w:val="2"/>
            <w:tcBorders>
              <w:top w:val="single" w:color="auto" w:sz="4" w:space="0"/>
              <w:left w:val="single" w:color="auto" w:sz="4" w:space="0"/>
              <w:bottom w:val="single" w:color="auto" w:sz="4" w:space="0"/>
              <w:right w:val="single" w:color="auto" w:sz="4" w:space="0"/>
            </w:tcBorders>
            <w:vAlign w:val="top"/>
          </w:tcPr>
          <w:p>
            <w:pPr>
              <w:spacing w:line="480" w:lineRule="atLeast"/>
              <w:rPr>
                <w:rFonts w:ascii="宋体" w:hAnsi="宋体" w:cs="宋体"/>
                <w:color w:val="000000"/>
                <w:kern w:val="0"/>
                <w:sz w:val="24"/>
                <w:szCs w:val="24"/>
              </w:rPr>
            </w:pPr>
            <w:r>
              <w:rPr>
                <w:rFonts w:hint="eastAsia" w:ascii="宋体" w:hAnsi="宋体" w:cs="宋体"/>
                <w:color w:val="000000"/>
                <w:kern w:val="0"/>
                <w:sz w:val="24"/>
                <w:szCs w:val="24"/>
                <w:lang w:val="en-US" w:eastAsia="zh-CN"/>
              </w:rPr>
              <w:t>董事会秘书：于书敏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000000"/>
                <w:kern w:val="0"/>
                <w:sz w:val="24"/>
                <w:szCs w:val="24"/>
              </w:rPr>
            </w:pPr>
            <w:r>
              <w:rPr>
                <w:rFonts w:hint="eastAsia" w:ascii="宋体" w:hAnsi="宋体" w:cs="宋体"/>
                <w:color w:val="000000"/>
                <w:kern w:val="0"/>
                <w:sz w:val="24"/>
                <w:szCs w:val="24"/>
                <w:lang w:val="en-US" w:eastAsia="zh-CN"/>
              </w:rPr>
              <w:t>交流内容及具体问答记录</w:t>
            </w:r>
          </w:p>
        </w:tc>
        <w:tc>
          <w:tcPr>
            <w:tcW w:w="7800"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numPr>
                <w:ilvl w:val="-1"/>
                <w:numId w:val="0"/>
              </w:numPr>
              <w:tabs>
                <w:tab w:val="left" w:pos="720"/>
              </w:tabs>
              <w:kinsoku/>
              <w:wordWrap/>
              <w:overflowPunct/>
              <w:topLinePunct w:val="0"/>
              <w:autoSpaceDE w:val="0"/>
              <w:autoSpaceDN w:val="0"/>
              <w:bidi w:val="0"/>
              <w:adjustRightInd w:val="0"/>
              <w:snapToGrid/>
              <w:spacing w:before="0" w:beforeLines="-2147483648" w:line="360" w:lineRule="auto"/>
              <w:ind w:firstLine="482" w:firstLineChars="200"/>
              <w:textAlignment w:val="auto"/>
              <w:rPr>
                <w:rFonts w:hint="eastAsia" w:ascii="宋体" w:hAnsi="宋体" w:eastAsia="宋体" w:cs="宋体"/>
                <w:kern w:val="0"/>
                <w:sz w:val="24"/>
                <w:szCs w:val="24"/>
                <w:lang w:val="en-US" w:eastAsia="zh-CN"/>
              </w:rPr>
            </w:pPr>
            <w:r>
              <w:rPr>
                <w:rFonts w:hint="eastAsia" w:ascii="宋体" w:hAnsi="宋体" w:cs="宋体"/>
                <w:b/>
                <w:bCs/>
                <w:kern w:val="0"/>
                <w:sz w:val="24"/>
                <w:szCs w:val="24"/>
                <w:lang w:val="en-US" w:eastAsia="zh-CN"/>
              </w:rPr>
              <w:t>一、</w:t>
            </w:r>
            <w:r>
              <w:rPr>
                <w:rFonts w:hint="eastAsia" w:ascii="宋体" w:hAnsi="宋体" w:cs="宋体"/>
                <w:b/>
                <w:bCs/>
                <w:kern w:val="0"/>
                <w:sz w:val="24"/>
                <w:szCs w:val="24"/>
              </w:rPr>
              <w:t>公司情况</w:t>
            </w:r>
            <w:r>
              <w:rPr>
                <w:rFonts w:hint="eastAsia" w:ascii="宋体" w:hAnsi="宋体" w:cs="宋体"/>
                <w:b/>
                <w:bCs/>
                <w:kern w:val="0"/>
                <w:sz w:val="24"/>
                <w:szCs w:val="24"/>
                <w:lang w:val="en-US" w:eastAsia="zh-CN"/>
              </w:rPr>
              <w:t>简介</w:t>
            </w:r>
          </w:p>
          <w:p>
            <w:pPr>
              <w:numPr>
                <w:ilvl w:val="0"/>
                <w:numId w:val="0"/>
              </w:numPr>
              <w:tabs>
                <w:tab w:val="left" w:pos="720"/>
              </w:tabs>
              <w:autoSpaceDE w:val="0"/>
              <w:autoSpaceDN w:val="0"/>
              <w:adjustRightIn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公司</w:t>
            </w:r>
            <w:r>
              <w:rPr>
                <w:rFonts w:hint="eastAsia" w:ascii="宋体" w:hAnsi="宋体" w:cs="宋体"/>
                <w:kern w:val="0"/>
                <w:sz w:val="24"/>
                <w:szCs w:val="24"/>
                <w:lang w:val="en-US" w:eastAsia="zh-CN"/>
              </w:rPr>
              <w:t>是</w:t>
            </w:r>
            <w:r>
              <w:rPr>
                <w:rFonts w:hint="eastAsia" w:ascii="宋体" w:hAnsi="宋体" w:cs="宋体"/>
                <w:kern w:val="0"/>
                <w:sz w:val="24"/>
                <w:szCs w:val="24"/>
              </w:rPr>
              <w:t>以研发创新驱动的平台型</w:t>
            </w:r>
            <w:r>
              <w:rPr>
                <w:rFonts w:hint="eastAsia" w:ascii="宋体" w:hAnsi="宋体" w:cs="宋体"/>
                <w:kern w:val="0"/>
                <w:sz w:val="24"/>
                <w:szCs w:val="24"/>
                <w:lang w:val="en-US" w:eastAsia="zh-CN"/>
              </w:rPr>
              <w:t>材料</w:t>
            </w:r>
            <w:r>
              <w:rPr>
                <w:rFonts w:hint="eastAsia" w:ascii="宋体" w:hAnsi="宋体" w:cs="宋体"/>
                <w:kern w:val="0"/>
                <w:sz w:val="24"/>
                <w:szCs w:val="24"/>
              </w:rPr>
              <w:t>企业</w:t>
            </w:r>
            <w:r>
              <w:rPr>
                <w:rFonts w:hint="eastAsia" w:ascii="宋体" w:hAnsi="宋体" w:cs="宋体"/>
                <w:kern w:val="0"/>
                <w:sz w:val="24"/>
                <w:szCs w:val="24"/>
                <w:lang w:eastAsia="zh-CN"/>
              </w:rPr>
              <w:t>，</w:t>
            </w:r>
            <w:r>
              <w:rPr>
                <w:rFonts w:hint="eastAsia" w:ascii="宋体" w:hAnsi="宋体" w:cs="宋体"/>
                <w:kern w:val="0"/>
                <w:sz w:val="24"/>
                <w:szCs w:val="24"/>
              </w:rPr>
              <w:t>自</w:t>
            </w:r>
            <w:r>
              <w:rPr>
                <w:rFonts w:hint="eastAsia" w:ascii="宋体" w:hAnsi="宋体" w:cs="宋体"/>
                <w:kern w:val="0"/>
                <w:sz w:val="24"/>
                <w:szCs w:val="24"/>
                <w:lang w:val="en-US" w:eastAsia="zh-CN"/>
              </w:rPr>
              <w:t>前身</w:t>
            </w:r>
            <w:r>
              <w:rPr>
                <w:rFonts w:hint="eastAsia" w:ascii="宋体" w:hAnsi="宋体" w:cs="宋体"/>
                <w:kern w:val="0"/>
                <w:sz w:val="24"/>
                <w:szCs w:val="24"/>
              </w:rPr>
              <w:t>成立以来</w:t>
            </w:r>
            <w:r>
              <w:rPr>
                <w:rFonts w:hint="eastAsia" w:ascii="宋体" w:hAnsi="宋体" w:cs="宋体"/>
                <w:kern w:val="0"/>
                <w:sz w:val="24"/>
                <w:szCs w:val="24"/>
                <w:lang w:val="en-US" w:eastAsia="zh-CN"/>
              </w:rPr>
              <w:t>一直</w:t>
            </w:r>
            <w:r>
              <w:rPr>
                <w:rFonts w:hint="eastAsia" w:ascii="宋体" w:hAnsi="宋体" w:cs="宋体"/>
                <w:kern w:val="0"/>
                <w:sz w:val="24"/>
                <w:szCs w:val="24"/>
              </w:rPr>
              <w:t>致力于先进新材料的研发创新与产业化落地，现主要从事电子信息材料产业、环保材料产业、新能源材料产业以及生命科学与医药产业四个领域产品的研发、生产和销售。</w:t>
            </w:r>
          </w:p>
          <w:p>
            <w:pPr>
              <w:numPr>
                <w:ilvl w:val="0"/>
                <w:numId w:val="0"/>
              </w:numPr>
              <w:tabs>
                <w:tab w:val="left" w:pos="720"/>
              </w:tabs>
              <w:autoSpaceDE w:val="0"/>
              <w:autoSpaceDN w:val="0"/>
              <w:adjustRightInd w:val="0"/>
              <w:spacing w:line="360" w:lineRule="auto"/>
              <w:ind w:firstLine="480" w:firstLineChars="200"/>
              <w:rPr>
                <w:rFonts w:hint="eastAsia" w:ascii="宋体" w:hAnsi="宋体" w:cs="宋体"/>
                <w:b w:val="0"/>
                <w:bCs w:val="0"/>
                <w:color w:val="000000"/>
                <w:kern w:val="0"/>
                <w:sz w:val="24"/>
                <w:szCs w:val="24"/>
                <w:lang w:val="en-US" w:eastAsia="zh-CN"/>
              </w:rPr>
            </w:pPr>
            <w:r>
              <w:rPr>
                <w:rFonts w:hint="eastAsia" w:ascii="宋体" w:hAnsi="宋体" w:eastAsia="宋体" w:cs="宋体"/>
                <w:kern w:val="0"/>
                <w:sz w:val="24"/>
                <w:szCs w:val="24"/>
              </w:rPr>
              <w:t>公司</w:t>
            </w:r>
            <w:r>
              <w:rPr>
                <w:rFonts w:hint="eastAsia" w:ascii="宋体" w:hAnsi="宋体" w:eastAsia="宋体" w:cs="宋体"/>
                <w:kern w:val="0"/>
                <w:sz w:val="24"/>
                <w:szCs w:val="24"/>
                <w:lang w:val="en-US" w:eastAsia="zh-CN"/>
              </w:rPr>
              <w:t>现已</w:t>
            </w:r>
            <w:r>
              <w:rPr>
                <w:rFonts w:hint="eastAsia" w:ascii="宋体" w:hAnsi="宋体" w:eastAsia="宋体" w:cs="宋体"/>
                <w:kern w:val="0"/>
                <w:sz w:val="24"/>
                <w:szCs w:val="24"/>
              </w:rPr>
              <w:t>建立了涵盖有机合成、纯化、高分子聚合、无机合成等</w:t>
            </w:r>
            <w:r>
              <w:rPr>
                <w:rFonts w:hint="eastAsia" w:ascii="宋体" w:hAnsi="宋体" w:cs="宋体"/>
                <w:kern w:val="0"/>
                <w:sz w:val="24"/>
                <w:szCs w:val="24"/>
                <w:lang w:val="en-US" w:eastAsia="zh-CN"/>
              </w:rPr>
              <w:t>多</w:t>
            </w:r>
            <w:r>
              <w:rPr>
                <w:rFonts w:hint="eastAsia" w:ascii="宋体" w:hAnsi="宋体" w:eastAsia="宋体" w:cs="宋体"/>
                <w:kern w:val="0"/>
                <w:sz w:val="24"/>
                <w:szCs w:val="24"/>
              </w:rPr>
              <w:t>大类工艺的科技创新平台，并拥有多家在业</w:t>
            </w:r>
            <w:bookmarkStart w:id="0" w:name="_GoBack"/>
            <w:bookmarkEnd w:id="0"/>
            <w:r>
              <w:rPr>
                <w:rFonts w:hint="eastAsia" w:ascii="宋体" w:hAnsi="宋体" w:eastAsia="宋体" w:cs="宋体"/>
                <w:kern w:val="0"/>
                <w:sz w:val="24"/>
                <w:szCs w:val="24"/>
              </w:rPr>
              <w:t>内具备一定规模与影响力的专业化子公司。</w:t>
            </w:r>
            <w:r>
              <w:rPr>
                <w:rFonts w:hint="eastAsia" w:ascii="宋体" w:hAnsi="宋体" w:cs="宋体"/>
                <w:kern w:val="0"/>
                <w:sz w:val="24"/>
                <w:szCs w:val="24"/>
                <w:lang w:val="en-US" w:eastAsia="zh-CN"/>
              </w:rPr>
              <w:t>近年来虽然公司收入有所波动，但在液晶材料、OLED材料、沸石系列环保材料等方面市场地位稳固，现继续保持在这些材料领域的业内领先地位。公司先进新材料方面已布局了</w:t>
            </w:r>
            <w:r>
              <w:rPr>
                <w:rFonts w:hint="eastAsia" w:ascii="宋体" w:hAnsi="宋体" w:eastAsia="宋体" w:cs="宋体"/>
                <w:kern w:val="0"/>
                <w:sz w:val="24"/>
                <w:szCs w:val="24"/>
              </w:rPr>
              <w:t>半导体制造材料、</w:t>
            </w:r>
            <w:r>
              <w:rPr>
                <w:rFonts w:hint="eastAsia" w:ascii="宋体" w:hAnsi="宋体" w:eastAsia="宋体" w:cs="宋体"/>
                <w:kern w:val="0"/>
                <w:sz w:val="24"/>
                <w:szCs w:val="24"/>
                <w:lang w:val="en-US" w:eastAsia="zh-CN"/>
              </w:rPr>
              <w:t>电子与显示用</w:t>
            </w:r>
            <w:r>
              <w:rPr>
                <w:rFonts w:hint="eastAsia" w:ascii="宋体" w:hAnsi="宋体" w:eastAsia="宋体" w:cs="宋体"/>
                <w:kern w:val="0"/>
                <w:sz w:val="24"/>
                <w:szCs w:val="24"/>
              </w:rPr>
              <w:t>聚酰亚胺材料、高性能聚合物材料</w:t>
            </w:r>
            <w:r>
              <w:rPr>
                <w:rFonts w:hint="eastAsia" w:ascii="宋体" w:hAnsi="宋体" w:cs="宋体"/>
                <w:kern w:val="0"/>
                <w:sz w:val="24"/>
                <w:szCs w:val="24"/>
                <w:lang w:eastAsia="zh-CN"/>
              </w:rPr>
              <w:t>、</w:t>
            </w:r>
            <w:r>
              <w:rPr>
                <w:rFonts w:hint="eastAsia" w:ascii="宋体" w:hAnsi="宋体" w:cs="宋体"/>
                <w:kern w:val="0"/>
                <w:sz w:val="24"/>
                <w:szCs w:val="24"/>
                <w:lang w:val="en-US" w:eastAsia="zh-CN"/>
              </w:rPr>
              <w:t>钙钛矿光伏材料、固态电池材料等多类材料，并积极推进这些产品开发或市场推广等工作；</w:t>
            </w:r>
            <w:r>
              <w:rPr>
                <w:rFonts w:hint="eastAsia" w:ascii="宋体" w:hAnsi="宋体" w:cs="宋体"/>
                <w:b w:val="0"/>
                <w:bCs w:val="0"/>
                <w:color w:val="000000"/>
                <w:kern w:val="0"/>
                <w:sz w:val="24"/>
                <w:szCs w:val="24"/>
                <w:lang w:val="en-US" w:eastAsia="zh-CN"/>
              </w:rPr>
              <w:t>2025年初至2026年一季度，在公司全体员工的共同努力下，收入及归属于上市公司股东的净利润均实现同比增长，其中2025年度公司实现营业收入37.17亿元，同比增长约0.63%，实现归属于上市公司股东的净利润约2.84亿元，同比增长约15.51%；2026年一季度实现营业收入约10.15亿元，同比增长约17.89%，实现归属于上市公司股东的净利润约0.88亿元，同比增长约9.96%。</w:t>
            </w:r>
          </w:p>
          <w:p>
            <w:pPr>
              <w:numPr>
                <w:ilvl w:val="0"/>
                <w:numId w:val="0"/>
              </w:numPr>
              <w:tabs>
                <w:tab w:val="left" w:pos="720"/>
              </w:tabs>
              <w:autoSpaceDE w:val="0"/>
              <w:autoSpaceDN w:val="0"/>
              <w:adjustRightInd w:val="0"/>
              <w:spacing w:line="360" w:lineRule="auto"/>
              <w:ind w:firstLine="480" w:firstLineChars="200"/>
              <w:rPr>
                <w:rFonts w:hint="eastAsia" w:ascii="宋体" w:hAnsi="宋体" w:cs="宋体"/>
                <w:kern w:val="0"/>
                <w:sz w:val="24"/>
                <w:szCs w:val="24"/>
                <w:lang w:val="en-US" w:eastAsia="zh-CN"/>
              </w:rPr>
            </w:pPr>
            <w:r>
              <w:rPr>
                <w:rFonts w:hint="eastAsia" w:ascii="宋体" w:hAnsi="宋体" w:cs="宋体"/>
                <w:kern w:val="0"/>
                <w:sz w:val="24"/>
                <w:szCs w:val="24"/>
                <w:lang w:val="en-US" w:eastAsia="zh-CN"/>
              </w:rPr>
              <w:t>未来公司将继续坚定以研发创新驱动公司的可持续发展，并争取成为更多先进新材料领域的业内领先企业。</w:t>
            </w:r>
          </w:p>
          <w:p>
            <w:pPr>
              <w:numPr>
                <w:ilvl w:val="-1"/>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1、问：公司在半导体制造材料领域的产品情况？</w:t>
            </w:r>
          </w:p>
          <w:p>
            <w:pPr>
              <w:numPr>
                <w:ilvl w:val="-1"/>
                <w:numId w:val="0"/>
              </w:numPr>
              <w:tabs>
                <w:tab w:val="left" w:pos="720"/>
              </w:tabs>
              <w:autoSpaceDE w:val="0"/>
              <w:autoSpaceDN w:val="0"/>
              <w:adjustRightIn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w:t>
            </w:r>
            <w:r>
              <w:rPr>
                <w:rFonts w:hint="eastAsia" w:ascii="宋体" w:hAnsi="宋体" w:cs="宋体"/>
                <w:sz w:val="24"/>
                <w:szCs w:val="24"/>
                <w:lang w:val="en-US" w:eastAsia="zh-CN"/>
              </w:rPr>
              <w:t>公</w:t>
            </w:r>
            <w:r>
              <w:rPr>
                <w:rFonts w:hint="eastAsia" w:ascii="宋体" w:hAnsi="宋体" w:eastAsia="宋体" w:cs="宋体"/>
                <w:color w:val="000000"/>
                <w:kern w:val="0"/>
                <w:sz w:val="24"/>
                <w:highlight w:val="none"/>
                <w:lang w:val="en-US" w:eastAsia="zh-CN"/>
              </w:rPr>
              <w:t>司在售半导体制造材料产品主要</w:t>
            </w:r>
            <w:r>
              <w:rPr>
                <w:rFonts w:hint="eastAsia" w:ascii="宋体" w:hAnsi="宋体" w:cs="宋体"/>
                <w:color w:val="000000"/>
                <w:kern w:val="0"/>
                <w:sz w:val="24"/>
                <w:highlight w:val="none"/>
                <w:lang w:val="en-US" w:eastAsia="zh-CN"/>
              </w:rPr>
              <w:t>包括</w:t>
            </w:r>
            <w:r>
              <w:rPr>
                <w:rFonts w:hint="eastAsia" w:ascii="宋体" w:hAnsi="宋体" w:eastAsia="宋体" w:cs="宋体"/>
                <w:color w:val="000000"/>
                <w:kern w:val="0"/>
                <w:sz w:val="24"/>
                <w:highlight w:val="none"/>
                <w:lang w:val="en-US" w:eastAsia="zh-CN"/>
              </w:rPr>
              <w:t>半导体光刻胶单体、树脂、光酸以及半导体制程中清洗剂添加材料等，其中光刻胶单体、树脂、光酸用途主要为ArF光刻胶、KrF光刻胶的上游原料，用于下游客户的产品开发及生产。2025年度及2026年一季度公司半导体制造材料整体收入均呈现同比增长态势，收入包含在公司功能性材料收入中。在产品开发方面，公司在半导体制造材料领域已开发了超300种化合物，在所涉足的主要产品上技</w:t>
            </w:r>
            <w:r>
              <w:rPr>
                <w:rFonts w:hint="eastAsia" w:ascii="宋体" w:hAnsi="宋体" w:cs="宋体"/>
                <w:b w:val="0"/>
                <w:bCs w:val="0"/>
                <w:kern w:val="0"/>
                <w:sz w:val="24"/>
                <w:szCs w:val="24"/>
                <w:lang w:val="en-US" w:eastAsia="zh-CN"/>
              </w:rPr>
              <w:t>术处于国内领先水平</w:t>
            </w:r>
            <w:r>
              <w:rPr>
                <w:rFonts w:hint="eastAsia" w:ascii="宋体" w:hAnsi="宋体" w:cs="宋体"/>
                <w:kern w:val="0"/>
                <w:sz w:val="24"/>
                <w:szCs w:val="24"/>
                <w:lang w:val="en-US" w:eastAsia="zh-CN"/>
              </w:rPr>
              <w:t>。</w:t>
            </w:r>
            <w:r>
              <w:rPr>
                <w:rFonts w:hint="eastAsia" w:ascii="宋体" w:hAnsi="宋体" w:cs="宋体"/>
                <w:b w:val="0"/>
                <w:bCs w:val="0"/>
                <w:kern w:val="0"/>
                <w:sz w:val="24"/>
                <w:szCs w:val="24"/>
                <w:lang w:val="en-US" w:eastAsia="zh-CN"/>
              </w:rPr>
              <w:t>在新产能建设方面，公司2025年开展</w:t>
            </w:r>
            <w:r>
              <w:rPr>
                <w:rFonts w:hint="eastAsia" w:ascii="宋体" w:hAnsi="宋体" w:eastAsia="宋体" w:cs="宋体"/>
                <w:sz w:val="24"/>
                <w:szCs w:val="24"/>
                <w:lang w:val="en-US" w:eastAsia="zh-CN"/>
              </w:rPr>
              <w:t>万润工业园二期C05建设项目，该项目包含半导体光刻胶用相关材料产能约751吨</w:t>
            </w:r>
            <w:r>
              <w:rPr>
                <w:rFonts w:hint="eastAsia" w:ascii="宋体" w:hAnsi="宋体" w:cs="宋体"/>
                <w:sz w:val="24"/>
                <w:szCs w:val="24"/>
                <w:lang w:val="en-US" w:eastAsia="zh-CN"/>
              </w:rPr>
              <w:t>/年</w:t>
            </w:r>
            <w:r>
              <w:rPr>
                <w:rFonts w:hint="eastAsia" w:ascii="宋体" w:hAnsi="宋体" w:eastAsia="宋体" w:cs="宋体"/>
                <w:sz w:val="24"/>
                <w:szCs w:val="24"/>
                <w:lang w:val="en-US" w:eastAsia="zh-CN"/>
              </w:rPr>
              <w:t>，主要产品包括光刻胶单体、光刻胶树脂、光致产酸剂及其他根据客户需求定制的相关半导体制造材料，</w:t>
            </w:r>
            <w:r>
              <w:rPr>
                <w:rFonts w:hint="eastAsia" w:ascii="宋体" w:hAnsi="宋体" w:cs="宋体"/>
                <w:sz w:val="24"/>
                <w:szCs w:val="24"/>
                <w:lang w:val="en-US" w:eastAsia="zh-CN"/>
              </w:rPr>
              <w:t>目前建设工作在积极推进中，争取</w:t>
            </w:r>
            <w:r>
              <w:rPr>
                <w:rFonts w:hint="eastAsia" w:ascii="宋体" w:hAnsi="宋体" w:eastAsia="宋体" w:cs="宋体"/>
                <w:sz w:val="24"/>
                <w:szCs w:val="24"/>
                <w:lang w:val="en-US" w:eastAsia="zh-CN"/>
              </w:rPr>
              <w:t>在</w:t>
            </w:r>
            <w:r>
              <w:rPr>
                <w:rFonts w:hint="eastAsia" w:ascii="宋体" w:hAnsi="宋体" w:cs="宋体"/>
                <w:sz w:val="24"/>
                <w:szCs w:val="24"/>
                <w:lang w:val="en-US" w:eastAsia="zh-CN"/>
              </w:rPr>
              <w:t>2026年底左右</w:t>
            </w:r>
            <w:r>
              <w:rPr>
                <w:rFonts w:hint="eastAsia" w:ascii="宋体" w:hAnsi="宋体" w:eastAsia="宋体" w:cs="宋体"/>
                <w:sz w:val="24"/>
                <w:szCs w:val="24"/>
                <w:lang w:val="en-US" w:eastAsia="zh-CN"/>
              </w:rPr>
              <w:t>完成建设。</w:t>
            </w:r>
          </w:p>
          <w:p>
            <w:pPr>
              <w:numPr>
                <w:ilvl w:val="-1"/>
                <w:numId w:val="0"/>
              </w:numPr>
              <w:tabs>
                <w:tab w:val="left" w:pos="720"/>
              </w:tabs>
              <w:autoSpaceDE w:val="0"/>
              <w:autoSpaceDN w:val="0"/>
              <w:adjustRightIn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公司在半导体制造材料领域的定位为半导体制造材料产业的坚实后盾，为下游半导体成品材料企业提供优质产品与服务，尽努力助力下游客户及行业发展。</w:t>
            </w:r>
          </w:p>
          <w:p>
            <w:pPr>
              <w:numPr>
                <w:ilvl w:val="-1"/>
                <w:numId w:val="0"/>
              </w:numPr>
              <w:tabs>
                <w:tab w:val="left" w:pos="720"/>
              </w:tabs>
              <w:autoSpaceDE w:val="0"/>
              <w:autoSpaceDN w:val="0"/>
              <w:adjustRightInd w:val="0"/>
              <w:spacing w:line="360" w:lineRule="auto"/>
              <w:ind w:firstLine="482" w:firstLineChars="200"/>
              <w:rPr>
                <w:rFonts w:hint="eastAsia"/>
                <w:lang w:val="en-US" w:eastAsia="zh-CN"/>
              </w:rPr>
            </w:pPr>
            <w:r>
              <w:rPr>
                <w:rFonts w:hint="eastAsia" w:ascii="宋体" w:hAnsi="宋体" w:cs="宋体"/>
                <w:b/>
                <w:bCs/>
                <w:kern w:val="0"/>
                <w:sz w:val="24"/>
                <w:szCs w:val="24"/>
                <w:lang w:val="en-US" w:eastAsia="zh-CN"/>
              </w:rPr>
              <w:t>2</w:t>
            </w:r>
            <w:r>
              <w:rPr>
                <w:rFonts w:hint="eastAsia" w:ascii="宋体" w:hAnsi="宋体" w:eastAsia="宋体" w:cs="宋体"/>
                <w:b/>
                <w:bCs/>
                <w:kern w:val="0"/>
                <w:sz w:val="24"/>
                <w:szCs w:val="24"/>
                <w:lang w:val="en-US" w:eastAsia="zh-CN"/>
              </w:rPr>
              <w:t>、问：公司子公司三月科技发展情况</w:t>
            </w:r>
            <w:r>
              <w:rPr>
                <w:rFonts w:hint="eastAsia" w:ascii="宋体" w:hAnsi="宋体" w:cs="宋体"/>
                <w:b/>
                <w:bCs/>
                <w:kern w:val="0"/>
                <w:sz w:val="24"/>
                <w:szCs w:val="24"/>
                <w:lang w:val="en-US" w:eastAsia="zh-CN"/>
              </w:rPr>
              <w:t>及其PI产品情况</w:t>
            </w:r>
            <w:r>
              <w:rPr>
                <w:rFonts w:hint="eastAsia" w:ascii="宋体" w:hAnsi="宋体" w:eastAsia="宋体" w:cs="宋体"/>
                <w:b/>
                <w:bCs/>
                <w:kern w:val="0"/>
                <w:sz w:val="24"/>
                <w:szCs w:val="24"/>
                <w:lang w:val="en-US" w:eastAsia="zh-CN"/>
              </w:rPr>
              <w:t>？</w:t>
            </w:r>
          </w:p>
          <w:p>
            <w:pPr>
              <w:numPr>
                <w:ilvl w:val="-1"/>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答：</w:t>
            </w:r>
            <w:r>
              <w:rPr>
                <w:rFonts w:hint="eastAsia" w:ascii="宋体" w:hAnsi="宋体" w:eastAsia="宋体" w:cs="宋体"/>
                <w:kern w:val="0"/>
                <w:sz w:val="24"/>
                <w:szCs w:val="24"/>
                <w:lang w:val="en-US" w:eastAsia="zh-CN"/>
              </w:rPr>
              <w:t>公司控股子三月科技</w:t>
            </w:r>
            <w:r>
              <w:rPr>
                <w:rFonts w:hint="eastAsia" w:ascii="宋体" w:hAnsi="宋体" w:cs="宋体"/>
                <w:kern w:val="2"/>
                <w:sz w:val="24"/>
                <w:szCs w:val="24"/>
                <w:lang w:val="en-US" w:eastAsia="zh-CN"/>
              </w:rPr>
              <w:t>目前的主要产品为</w:t>
            </w:r>
            <w:r>
              <w:rPr>
                <w:rFonts w:hint="eastAsia" w:ascii="宋体" w:hAnsi="宋体" w:eastAsia="宋体" w:cs="宋体"/>
                <w:kern w:val="0"/>
                <w:sz w:val="24"/>
                <w:szCs w:val="24"/>
                <w:lang w:val="en-US" w:eastAsia="zh-CN"/>
              </w:rPr>
              <w:t>OLED成品材料</w:t>
            </w:r>
            <w:r>
              <w:rPr>
                <w:rFonts w:hint="eastAsia" w:ascii="宋体" w:hAnsi="宋体" w:cs="宋体"/>
                <w:kern w:val="2"/>
                <w:sz w:val="24"/>
                <w:szCs w:val="24"/>
                <w:lang w:val="en-US" w:eastAsia="zh-CN"/>
              </w:rPr>
              <w:t>、</w:t>
            </w:r>
            <w:r>
              <w:rPr>
                <w:rFonts w:hint="eastAsia" w:ascii="宋体" w:hAnsi="宋体" w:eastAsia="宋体" w:cs="宋体"/>
                <w:kern w:val="0"/>
                <w:sz w:val="24"/>
                <w:szCs w:val="24"/>
                <w:lang w:val="en-US" w:eastAsia="zh-CN"/>
              </w:rPr>
              <w:t>显示用</w:t>
            </w:r>
            <w:r>
              <w:rPr>
                <w:rFonts w:hint="eastAsia" w:ascii="宋体" w:hAnsi="宋体" w:cs="宋体"/>
                <w:kern w:val="2"/>
                <w:sz w:val="24"/>
                <w:szCs w:val="24"/>
                <w:lang w:val="en-US" w:eastAsia="zh-CN"/>
              </w:rPr>
              <w:t>PI成品材料，主要客户为显示面板制造企业，现已向多家显示面板企业实现产品供应。</w:t>
            </w:r>
            <w:r>
              <w:rPr>
                <w:rFonts w:hint="eastAsia" w:ascii="宋体" w:hAnsi="宋体" w:eastAsia="宋体" w:cs="宋体"/>
                <w:kern w:val="0"/>
                <w:sz w:val="24"/>
                <w:szCs w:val="24"/>
                <w:lang w:val="en-US" w:eastAsia="zh-CN"/>
              </w:rPr>
              <w:t>随着三月科技成品材料</w:t>
            </w:r>
            <w:r>
              <w:rPr>
                <w:rFonts w:hint="eastAsia" w:ascii="宋体" w:hAnsi="宋体" w:cs="宋体"/>
                <w:kern w:val="2"/>
                <w:sz w:val="24"/>
                <w:szCs w:val="24"/>
                <w:lang w:val="en-US" w:eastAsia="zh-CN"/>
              </w:rPr>
              <w:t>的持续研发、生产与市场拓展</w:t>
            </w:r>
            <w:r>
              <w:rPr>
                <w:rFonts w:hint="eastAsia" w:ascii="宋体" w:hAnsi="宋体" w:eastAsia="宋体" w:cs="宋体"/>
                <w:kern w:val="0"/>
                <w:sz w:val="24"/>
                <w:szCs w:val="24"/>
                <w:lang w:val="en-US" w:eastAsia="zh-CN"/>
              </w:rPr>
              <w:t>，</w:t>
            </w:r>
            <w:r>
              <w:rPr>
                <w:rFonts w:hint="eastAsia" w:ascii="宋体" w:hAnsi="宋体" w:cs="宋体"/>
                <w:kern w:val="2"/>
                <w:sz w:val="24"/>
                <w:szCs w:val="24"/>
                <w:lang w:val="en-US" w:eastAsia="zh-CN"/>
              </w:rPr>
              <w:t>2025年收入再创新高，2025</w:t>
            </w:r>
            <w:r>
              <w:rPr>
                <w:rFonts w:hint="eastAsia" w:ascii="宋体" w:hAnsi="宋体" w:eastAsia="宋体" w:cs="宋体"/>
                <w:kern w:val="0"/>
                <w:sz w:val="24"/>
                <w:szCs w:val="24"/>
                <w:lang w:val="en-US" w:eastAsia="zh-CN"/>
              </w:rPr>
              <w:t>年度收入</w:t>
            </w:r>
            <w:r>
              <w:rPr>
                <w:rFonts w:hint="eastAsia" w:ascii="宋体" w:hAnsi="宋体" w:cs="宋体"/>
                <w:kern w:val="2"/>
                <w:sz w:val="24"/>
                <w:szCs w:val="24"/>
                <w:lang w:val="en-US" w:eastAsia="zh-CN"/>
              </w:rPr>
              <w:t>较比上年增长约51.84%，</w:t>
            </w:r>
            <w:r>
              <w:rPr>
                <w:rFonts w:hint="eastAsia" w:ascii="宋体" w:hAnsi="宋体" w:eastAsia="宋体" w:cs="宋体"/>
                <w:kern w:val="0"/>
                <w:sz w:val="24"/>
                <w:szCs w:val="24"/>
                <w:lang w:val="en-US" w:eastAsia="zh-CN"/>
              </w:rPr>
              <w:t>增至约</w:t>
            </w:r>
            <w:r>
              <w:rPr>
                <w:rFonts w:hint="eastAsia" w:ascii="宋体" w:hAnsi="宋体" w:cs="宋体"/>
                <w:kern w:val="2"/>
                <w:sz w:val="24"/>
                <w:szCs w:val="24"/>
                <w:lang w:val="en-US" w:eastAsia="zh-CN"/>
              </w:rPr>
              <w:t>2.18</w:t>
            </w:r>
            <w:r>
              <w:rPr>
                <w:rFonts w:hint="eastAsia" w:ascii="宋体" w:hAnsi="宋体" w:eastAsia="宋体" w:cs="宋体"/>
                <w:kern w:val="0"/>
                <w:sz w:val="24"/>
                <w:szCs w:val="24"/>
                <w:lang w:val="en-US" w:eastAsia="zh-CN"/>
              </w:rPr>
              <w:t>亿元</w:t>
            </w:r>
            <w:r>
              <w:rPr>
                <w:rFonts w:hint="eastAsia" w:ascii="宋体" w:hAnsi="宋体" w:cs="宋体"/>
                <w:kern w:val="2"/>
                <w:sz w:val="24"/>
                <w:szCs w:val="24"/>
                <w:lang w:val="en-US" w:eastAsia="zh-CN"/>
              </w:rPr>
              <w:t>，并实现扭亏为盈，净利润约389.43万元</w:t>
            </w:r>
            <w:r>
              <w:rPr>
                <w:rFonts w:hint="eastAsia" w:ascii="宋体" w:hAnsi="宋体" w:eastAsia="宋体" w:cs="宋体"/>
                <w:kern w:val="0"/>
                <w:sz w:val="24"/>
                <w:szCs w:val="24"/>
                <w:lang w:val="en-US" w:eastAsia="zh-CN"/>
              </w:rPr>
              <w:t>。</w:t>
            </w:r>
          </w:p>
          <w:p>
            <w:pPr>
              <w:numPr>
                <w:ilvl w:val="-1"/>
                <w:numId w:val="0"/>
              </w:numPr>
              <w:tabs>
                <w:tab w:val="left" w:pos="720"/>
              </w:tabs>
              <w:autoSpaceDE w:val="0"/>
              <w:autoSpaceDN w:val="0"/>
              <w:adjustRightIn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公司</w:t>
            </w:r>
            <w:r>
              <w:rPr>
                <w:rFonts w:hint="eastAsia" w:ascii="宋体" w:hAnsi="宋体" w:cs="宋体"/>
                <w:kern w:val="0"/>
                <w:sz w:val="24"/>
                <w:szCs w:val="24"/>
                <w:lang w:val="en-US" w:eastAsia="zh-CN"/>
              </w:rPr>
              <w:t>显示用PI成品材料主要包括PSPI成品材料与取向剂PI成品材料两类。PSPI</w:t>
            </w:r>
            <w:r>
              <w:rPr>
                <w:rFonts w:hint="eastAsia" w:ascii="宋体" w:hAnsi="宋体" w:eastAsia="宋体" w:cs="宋体"/>
                <w:kern w:val="0"/>
                <w:sz w:val="24"/>
                <w:szCs w:val="24"/>
                <w:lang w:val="en-US" w:eastAsia="zh-CN"/>
              </w:rPr>
              <w:t>成品材料</w:t>
            </w:r>
            <w:r>
              <w:rPr>
                <w:rFonts w:hint="eastAsia" w:ascii="宋体" w:hAnsi="宋体" w:cs="宋体"/>
                <w:kern w:val="0"/>
                <w:sz w:val="24"/>
                <w:szCs w:val="24"/>
                <w:lang w:val="en-US" w:eastAsia="zh-CN"/>
              </w:rPr>
              <w:t>用于OLED显示面板的</w:t>
            </w:r>
            <w:r>
              <w:rPr>
                <w:rFonts w:ascii="宋体" w:hAnsi="宋体" w:eastAsia="宋体" w:cs="宋体"/>
                <w:sz w:val="24"/>
                <w:szCs w:val="24"/>
              </w:rPr>
              <w:t>相素定义层、支撑层、平坦层</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产品</w:t>
            </w:r>
            <w:r>
              <w:rPr>
                <w:rFonts w:hint="eastAsia" w:ascii="宋体" w:hAnsi="宋体" w:eastAsia="宋体" w:cs="宋体"/>
                <w:kern w:val="0"/>
                <w:sz w:val="24"/>
                <w:szCs w:val="24"/>
                <w:lang w:val="en-US" w:eastAsia="zh-CN"/>
              </w:rPr>
              <w:t>销往下游</w:t>
            </w:r>
            <w:r>
              <w:rPr>
                <w:rFonts w:hint="eastAsia" w:ascii="宋体" w:hAnsi="宋体" w:cs="宋体"/>
                <w:kern w:val="0"/>
                <w:sz w:val="24"/>
                <w:szCs w:val="24"/>
                <w:lang w:val="en-US" w:eastAsia="zh-CN"/>
              </w:rPr>
              <w:t>OLED面板制造企业；</w:t>
            </w:r>
            <w:r>
              <w:rPr>
                <w:rFonts w:hint="eastAsia" w:ascii="宋体" w:hAnsi="宋体" w:eastAsia="宋体" w:cs="宋体"/>
                <w:kern w:val="0"/>
                <w:sz w:val="24"/>
                <w:szCs w:val="24"/>
                <w:lang w:val="en-US" w:eastAsia="zh-CN"/>
              </w:rPr>
              <w:t>取向剂PI成品材料</w:t>
            </w:r>
            <w:r>
              <w:rPr>
                <w:rFonts w:hint="eastAsia" w:ascii="宋体" w:hAnsi="宋体" w:cs="宋体"/>
                <w:kern w:val="0"/>
                <w:sz w:val="24"/>
                <w:szCs w:val="24"/>
                <w:lang w:val="en-US" w:eastAsia="zh-CN"/>
              </w:rPr>
              <w:t>用于液晶显示面板的配向层</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产品</w:t>
            </w:r>
            <w:r>
              <w:rPr>
                <w:rFonts w:hint="eastAsia" w:ascii="宋体" w:hAnsi="宋体" w:eastAsia="宋体" w:cs="宋体"/>
                <w:kern w:val="0"/>
                <w:sz w:val="24"/>
                <w:szCs w:val="24"/>
                <w:lang w:val="en-US" w:eastAsia="zh-CN"/>
              </w:rPr>
              <w:t>销往下游</w:t>
            </w:r>
            <w:r>
              <w:rPr>
                <w:rFonts w:hint="eastAsia" w:ascii="宋体" w:hAnsi="宋体" w:cs="宋体"/>
                <w:kern w:val="0"/>
                <w:sz w:val="24"/>
                <w:szCs w:val="24"/>
                <w:lang w:val="en-US" w:eastAsia="zh-CN"/>
              </w:rPr>
              <w:t>LCD面板制造企业</w:t>
            </w:r>
            <w:r>
              <w:rPr>
                <w:rFonts w:hint="eastAsia" w:ascii="宋体" w:hAnsi="宋体" w:eastAsia="宋体" w:cs="宋体"/>
                <w:kern w:val="0"/>
                <w:sz w:val="24"/>
                <w:szCs w:val="24"/>
                <w:lang w:val="en-US" w:eastAsia="zh-CN"/>
              </w:rPr>
              <w:t>。整体销售情况</w:t>
            </w:r>
            <w:r>
              <w:rPr>
                <w:rFonts w:hint="eastAsia" w:ascii="宋体" w:hAnsi="宋体" w:cs="宋体"/>
                <w:kern w:val="0"/>
                <w:sz w:val="24"/>
                <w:szCs w:val="24"/>
                <w:lang w:val="en-US" w:eastAsia="zh-CN"/>
              </w:rPr>
              <w:t>2025年度及2026</w:t>
            </w:r>
            <w:r>
              <w:rPr>
                <w:rFonts w:hint="eastAsia" w:ascii="宋体" w:hAnsi="宋体" w:eastAsia="宋体" w:cs="宋体"/>
                <w:kern w:val="0"/>
                <w:sz w:val="24"/>
                <w:szCs w:val="24"/>
                <w:lang w:val="en-US" w:eastAsia="zh-CN"/>
              </w:rPr>
              <w:t>年一季度均呈现</w:t>
            </w:r>
            <w:r>
              <w:rPr>
                <w:rFonts w:hint="eastAsia" w:ascii="宋体" w:hAnsi="宋体" w:cs="宋体"/>
                <w:kern w:val="0"/>
                <w:sz w:val="24"/>
                <w:szCs w:val="24"/>
                <w:lang w:val="en-US" w:eastAsia="zh-CN"/>
              </w:rPr>
              <w:t>同比</w:t>
            </w:r>
            <w:r>
              <w:rPr>
                <w:rFonts w:hint="eastAsia" w:ascii="宋体" w:hAnsi="宋体" w:eastAsia="宋体" w:cs="宋体"/>
                <w:kern w:val="0"/>
                <w:sz w:val="24"/>
                <w:szCs w:val="24"/>
                <w:lang w:val="en-US" w:eastAsia="zh-CN"/>
              </w:rPr>
              <w:t>增长态势，</w:t>
            </w:r>
            <w:r>
              <w:rPr>
                <w:rFonts w:hint="eastAsia" w:ascii="宋体" w:hAnsi="宋体" w:eastAsia="宋体" w:cs="宋体"/>
                <w:color w:val="000000"/>
                <w:kern w:val="0"/>
                <w:sz w:val="24"/>
                <w:highlight w:val="none"/>
                <w:lang w:val="en-US" w:eastAsia="zh-CN"/>
              </w:rPr>
              <w:t>收入包含在三月科技收入中</w:t>
            </w:r>
            <w:r>
              <w:rPr>
                <w:rFonts w:hint="eastAsia" w:ascii="宋体" w:hAnsi="宋体" w:cs="宋体"/>
                <w:kern w:val="0"/>
                <w:sz w:val="24"/>
                <w:szCs w:val="24"/>
                <w:lang w:val="en-US" w:eastAsia="zh-CN"/>
              </w:rPr>
              <w:t>。</w:t>
            </w:r>
            <w:r>
              <w:rPr>
                <w:rFonts w:hint="eastAsia" w:ascii="宋体" w:hAnsi="宋体" w:cs="宋体"/>
                <w:b w:val="0"/>
                <w:bCs w:val="0"/>
                <w:kern w:val="0"/>
                <w:sz w:val="24"/>
                <w:szCs w:val="24"/>
                <w:lang w:val="en-US" w:eastAsia="zh-CN"/>
              </w:rPr>
              <w:t>在新产能建设方面，公司</w:t>
            </w:r>
            <w:r>
              <w:rPr>
                <w:rFonts w:hint="eastAsia" w:ascii="宋体" w:hAnsi="宋体" w:eastAsia="宋体" w:cs="宋体"/>
                <w:sz w:val="24"/>
                <w:szCs w:val="24"/>
                <w:lang w:val="en-US" w:eastAsia="zh-CN"/>
              </w:rPr>
              <w:t>工业园二期C05建设项目包含</w:t>
            </w:r>
            <w:r>
              <w:rPr>
                <w:rFonts w:hint="eastAsia" w:ascii="宋体" w:hAnsi="宋体" w:cs="宋体"/>
                <w:sz w:val="24"/>
                <w:szCs w:val="24"/>
                <w:lang w:val="en-US" w:eastAsia="zh-CN"/>
              </w:rPr>
              <w:t>显示用PI材料</w:t>
            </w:r>
            <w:r>
              <w:rPr>
                <w:rFonts w:hint="eastAsia" w:ascii="宋体" w:hAnsi="宋体" w:eastAsia="宋体" w:cs="宋体"/>
                <w:sz w:val="24"/>
                <w:szCs w:val="24"/>
                <w:lang w:val="en-US" w:eastAsia="zh-CN"/>
              </w:rPr>
              <w:t>产能约7</w:t>
            </w:r>
            <w:r>
              <w:rPr>
                <w:rFonts w:hint="eastAsia" w:ascii="宋体" w:hAnsi="宋体" w:cs="宋体"/>
                <w:sz w:val="24"/>
                <w:szCs w:val="24"/>
                <w:lang w:val="en-US" w:eastAsia="zh-CN"/>
              </w:rPr>
              <w:t>00</w:t>
            </w:r>
            <w:r>
              <w:rPr>
                <w:rFonts w:hint="eastAsia" w:ascii="宋体" w:hAnsi="宋体" w:eastAsia="宋体" w:cs="宋体"/>
                <w:sz w:val="24"/>
                <w:szCs w:val="24"/>
                <w:lang w:val="en-US" w:eastAsia="zh-CN"/>
              </w:rPr>
              <w:t>吨</w:t>
            </w:r>
            <w:r>
              <w:rPr>
                <w:rFonts w:hint="eastAsia" w:ascii="宋体" w:hAnsi="宋体" w:cs="宋体"/>
                <w:sz w:val="24"/>
                <w:szCs w:val="24"/>
                <w:lang w:val="en-US" w:eastAsia="zh-CN"/>
              </w:rPr>
              <w:t>/年</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争取</w:t>
            </w:r>
            <w:r>
              <w:rPr>
                <w:rFonts w:hint="eastAsia" w:ascii="宋体" w:hAnsi="宋体" w:eastAsia="宋体" w:cs="宋体"/>
                <w:sz w:val="24"/>
                <w:szCs w:val="24"/>
                <w:lang w:val="en-US" w:eastAsia="zh-CN"/>
              </w:rPr>
              <w:t>在</w:t>
            </w:r>
            <w:r>
              <w:rPr>
                <w:rFonts w:hint="eastAsia" w:ascii="宋体" w:hAnsi="宋体" w:cs="宋体"/>
                <w:sz w:val="24"/>
                <w:szCs w:val="24"/>
                <w:lang w:val="en-US" w:eastAsia="zh-CN"/>
              </w:rPr>
              <w:t>2026年底左右</w:t>
            </w:r>
            <w:r>
              <w:rPr>
                <w:rFonts w:hint="eastAsia" w:ascii="宋体" w:hAnsi="宋体" w:eastAsia="宋体" w:cs="宋体"/>
                <w:sz w:val="24"/>
                <w:szCs w:val="24"/>
                <w:lang w:val="en-US" w:eastAsia="zh-CN"/>
              </w:rPr>
              <w:t>完成建设。</w:t>
            </w:r>
          </w:p>
          <w:p>
            <w:pPr>
              <w:numPr>
                <w:ilvl w:val="-1"/>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3、问：公司PEI产品情况？是否有扩产计划？</w:t>
            </w:r>
          </w:p>
          <w:p>
            <w:pPr>
              <w:numPr>
                <w:ilvl w:val="-1"/>
                <w:numId w:val="0"/>
              </w:numPr>
              <w:tabs>
                <w:tab w:val="left" w:pos="720"/>
              </w:tabs>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sz w:val="24"/>
                <w:szCs w:val="24"/>
                <w:lang w:val="en-US" w:eastAsia="zh-CN"/>
              </w:rPr>
              <w:t>答：</w:t>
            </w:r>
            <w:r>
              <w:rPr>
                <w:rFonts w:hint="eastAsia" w:ascii="宋体" w:hAnsi="宋体" w:cs="宋体"/>
                <w:i w:val="0"/>
                <w:caps w:val="0"/>
                <w:spacing w:val="0"/>
                <w:kern w:val="0"/>
                <w:sz w:val="24"/>
                <w:szCs w:val="24"/>
                <w:shd w:val="clear"/>
                <w:lang w:val="en-US" w:eastAsia="zh-CN"/>
              </w:rPr>
              <w:t>公司PEI产品持续销售中，年</w:t>
            </w:r>
            <w:r>
              <w:rPr>
                <w:rFonts w:hint="eastAsia" w:ascii="宋体" w:hAnsi="宋体" w:cs="宋体"/>
                <w:i w:val="0"/>
                <w:caps w:val="0"/>
                <w:spacing w:val="0"/>
                <w:kern w:val="0"/>
                <w:sz w:val="24"/>
                <w:szCs w:val="24"/>
                <w:shd w:val="clear"/>
              </w:rPr>
              <w:t>产能1,500吨</w:t>
            </w:r>
            <w:r>
              <w:rPr>
                <w:rFonts w:hint="eastAsia" w:ascii="宋体" w:hAnsi="宋体" w:cs="宋体"/>
                <w:i w:val="0"/>
                <w:caps w:val="0"/>
                <w:spacing w:val="0"/>
                <w:kern w:val="0"/>
                <w:sz w:val="24"/>
                <w:szCs w:val="24"/>
                <w:shd w:val="clear"/>
                <w:lang w:val="en-US" w:eastAsia="zh-CN"/>
              </w:rPr>
              <w:t>的</w:t>
            </w:r>
            <w:r>
              <w:rPr>
                <w:rFonts w:hint="eastAsia" w:ascii="宋体" w:hAnsi="宋体" w:cs="宋体"/>
                <w:i w:val="0"/>
                <w:caps w:val="0"/>
                <w:spacing w:val="0"/>
                <w:kern w:val="0"/>
                <w:sz w:val="24"/>
                <w:szCs w:val="24"/>
                <w:shd w:val="clear"/>
              </w:rPr>
              <w:t>PEI</w:t>
            </w:r>
            <w:r>
              <w:rPr>
                <w:rFonts w:hint="eastAsia" w:ascii="宋体" w:hAnsi="宋体" w:cs="宋体"/>
                <w:i w:val="0"/>
                <w:caps w:val="0"/>
                <w:spacing w:val="0"/>
                <w:kern w:val="0"/>
                <w:sz w:val="24"/>
                <w:szCs w:val="24"/>
                <w:shd w:val="clear"/>
                <w:lang w:val="en-US" w:eastAsia="zh-CN"/>
              </w:rPr>
              <w:t>产品</w:t>
            </w:r>
            <w:r>
              <w:rPr>
                <w:rFonts w:hint="eastAsia" w:ascii="宋体" w:hAnsi="宋体" w:cs="宋体"/>
                <w:i w:val="0"/>
                <w:caps w:val="0"/>
                <w:spacing w:val="0"/>
                <w:kern w:val="0"/>
                <w:sz w:val="24"/>
                <w:szCs w:val="24"/>
                <w:shd w:val="clear"/>
              </w:rPr>
              <w:t>量产线</w:t>
            </w:r>
            <w:r>
              <w:rPr>
                <w:rFonts w:hint="eastAsia" w:ascii="宋体" w:hAnsi="宋体" w:cs="宋体"/>
                <w:i w:val="0"/>
                <w:caps w:val="0"/>
                <w:spacing w:val="0"/>
                <w:kern w:val="0"/>
                <w:sz w:val="24"/>
                <w:szCs w:val="24"/>
                <w:shd w:val="clear"/>
                <w:lang w:val="en-US" w:eastAsia="zh-CN"/>
              </w:rPr>
              <w:t>已投入试生产，如未来该产线能够顺利达产，后续会结合下游需求情况考虑扩产事宜</w:t>
            </w:r>
            <w:r>
              <w:rPr>
                <w:rFonts w:hint="eastAsia" w:ascii="宋体" w:hAnsi="宋体" w:cs="宋体"/>
                <w:i w:val="0"/>
                <w:caps w:val="0"/>
                <w:spacing w:val="0"/>
                <w:kern w:val="0"/>
                <w:sz w:val="24"/>
                <w:szCs w:val="24"/>
                <w:shd w:val="clear"/>
                <w:lang w:eastAsia="zh-CN"/>
              </w:rPr>
              <w:t>。</w:t>
            </w:r>
            <w:r>
              <w:rPr>
                <w:rFonts w:hint="eastAsia" w:ascii="宋体" w:hAnsi="宋体" w:cs="宋体"/>
                <w:sz w:val="24"/>
                <w:szCs w:val="24"/>
                <w:lang w:val="en-US" w:eastAsia="zh-CN"/>
              </w:rPr>
              <w:t>该产线量产工艺前期已经通过了国内首次使用化工工艺安全可靠性论证评审。目前该材料下游客户主要为挤出、注塑、改性等类型企业，据了解下游不同企业通过生产加工后，可应用于型材、光纤连接器、航空航天复合材料（用于飞机流体分离电磁阀上使用的注塑件）等产品领域。</w:t>
            </w:r>
          </w:p>
          <w:p>
            <w:pPr>
              <w:numPr>
                <w:ilvl w:val="-1"/>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4、问：公司OLED材料业务情况？</w:t>
            </w:r>
          </w:p>
          <w:p>
            <w:pPr>
              <w:numPr>
                <w:ilvl w:val="-1"/>
                <w:numId w:val="0"/>
              </w:numPr>
              <w:tabs>
                <w:tab w:val="left" w:pos="720"/>
              </w:tabs>
              <w:autoSpaceDE w:val="0"/>
              <w:autoSpaceDN w:val="0"/>
              <w:adjustRightInd w:val="0"/>
              <w:spacing w:line="360" w:lineRule="auto"/>
              <w:ind w:firstLine="480" w:firstLineChars="200"/>
              <w:rPr>
                <w:rFonts w:hint="eastAsia" w:ascii="宋体" w:hAnsi="宋体" w:cs="宋体"/>
                <w:kern w:val="0"/>
                <w:sz w:val="24"/>
                <w:szCs w:val="24"/>
                <w:lang w:val="en-US" w:eastAsia="zh-CN"/>
              </w:rPr>
            </w:pPr>
            <w:r>
              <w:rPr>
                <w:rFonts w:hint="eastAsia" w:ascii="宋体" w:hAnsi="宋体" w:eastAsia="宋体" w:cs="宋体"/>
                <w:sz w:val="24"/>
                <w:szCs w:val="24"/>
                <w:lang w:val="en-US" w:eastAsia="zh-CN"/>
              </w:rPr>
              <w:t>答：</w:t>
            </w:r>
            <w:r>
              <w:rPr>
                <w:rFonts w:hint="eastAsia" w:ascii="宋体" w:hAnsi="宋体" w:eastAsia="宋体" w:cs="宋体"/>
                <w:kern w:val="0"/>
                <w:sz w:val="24"/>
                <w:szCs w:val="24"/>
                <w:lang w:val="en-US" w:eastAsia="zh-CN"/>
              </w:rPr>
              <w:t>公司OLED材料主要包括OLED升华前材料</w:t>
            </w:r>
            <w:r>
              <w:rPr>
                <w:rFonts w:hint="eastAsia" w:ascii="宋体" w:hAnsi="宋体" w:cs="宋体"/>
                <w:kern w:val="0"/>
                <w:sz w:val="24"/>
                <w:szCs w:val="24"/>
                <w:lang w:val="en-US" w:eastAsia="zh-CN"/>
              </w:rPr>
              <w:t>与</w:t>
            </w:r>
            <w:r>
              <w:rPr>
                <w:rFonts w:hint="eastAsia" w:ascii="宋体" w:hAnsi="宋体" w:eastAsia="宋体" w:cs="宋体"/>
                <w:kern w:val="0"/>
                <w:sz w:val="24"/>
                <w:szCs w:val="24"/>
                <w:lang w:val="en-US" w:eastAsia="zh-CN"/>
              </w:rPr>
              <w:t>OLED成品材料</w:t>
            </w:r>
            <w:r>
              <w:rPr>
                <w:rFonts w:hint="eastAsia" w:ascii="宋体" w:hAnsi="宋体" w:cs="宋体"/>
                <w:kern w:val="0"/>
                <w:sz w:val="24"/>
                <w:szCs w:val="24"/>
                <w:lang w:val="en-US" w:eastAsia="zh-CN"/>
              </w:rPr>
              <w:t>，控股子公司</w:t>
            </w:r>
            <w:r>
              <w:rPr>
                <w:rFonts w:hint="eastAsia" w:ascii="宋体" w:hAnsi="宋体" w:eastAsia="宋体" w:cs="宋体"/>
                <w:kern w:val="0"/>
                <w:sz w:val="24"/>
                <w:szCs w:val="24"/>
                <w:lang w:val="en-US" w:eastAsia="zh-CN"/>
              </w:rPr>
              <w:t>九目化学从事OLED升华前材料业务、</w:t>
            </w:r>
            <w:r>
              <w:rPr>
                <w:rFonts w:hint="eastAsia" w:ascii="宋体" w:hAnsi="宋体" w:cs="宋体"/>
                <w:kern w:val="0"/>
                <w:sz w:val="24"/>
                <w:szCs w:val="24"/>
                <w:lang w:val="en-US" w:eastAsia="zh-CN"/>
              </w:rPr>
              <w:t>控股子公司</w:t>
            </w:r>
            <w:r>
              <w:rPr>
                <w:rFonts w:hint="eastAsia" w:ascii="宋体" w:hAnsi="宋体" w:eastAsia="宋体" w:cs="宋体"/>
                <w:kern w:val="0"/>
                <w:sz w:val="24"/>
                <w:szCs w:val="24"/>
                <w:lang w:val="en-US" w:eastAsia="zh-CN"/>
              </w:rPr>
              <w:t>三月科技从事OLED成品材料业务。</w:t>
            </w:r>
            <w:r>
              <w:rPr>
                <w:rFonts w:hint="eastAsia" w:ascii="宋体" w:hAnsi="宋体" w:cs="宋体"/>
                <w:kern w:val="0"/>
                <w:sz w:val="24"/>
                <w:szCs w:val="24"/>
                <w:lang w:val="en-US" w:eastAsia="zh-CN"/>
              </w:rPr>
              <w:t>2025年度OLED</w:t>
            </w:r>
            <w:r>
              <w:rPr>
                <w:rFonts w:hint="eastAsia" w:ascii="宋体" w:hAnsi="宋体" w:eastAsia="宋体" w:cs="宋体"/>
                <w:kern w:val="0"/>
                <w:sz w:val="24"/>
                <w:szCs w:val="24"/>
                <w:lang w:val="en-US" w:eastAsia="zh-CN"/>
              </w:rPr>
              <w:t>成品材料收入保持</w:t>
            </w:r>
            <w:r>
              <w:rPr>
                <w:rFonts w:hint="eastAsia" w:ascii="宋体" w:hAnsi="宋体" w:cs="宋体"/>
                <w:kern w:val="0"/>
                <w:sz w:val="24"/>
                <w:szCs w:val="24"/>
                <w:lang w:val="en-US" w:eastAsia="zh-CN"/>
              </w:rPr>
              <w:t>同比</w:t>
            </w:r>
            <w:r>
              <w:rPr>
                <w:rFonts w:hint="eastAsia" w:ascii="宋体" w:hAnsi="宋体" w:eastAsia="宋体" w:cs="宋体"/>
                <w:kern w:val="0"/>
                <w:sz w:val="24"/>
                <w:szCs w:val="24"/>
                <w:lang w:val="en-US" w:eastAsia="zh-CN"/>
              </w:rPr>
              <w:t>增长态势，</w:t>
            </w:r>
            <w:r>
              <w:rPr>
                <w:rFonts w:hint="eastAsia" w:ascii="宋体" w:hAnsi="宋体" w:cs="宋体"/>
                <w:kern w:val="0"/>
                <w:sz w:val="24"/>
                <w:szCs w:val="24"/>
                <w:lang w:val="en-US" w:eastAsia="zh-CN"/>
              </w:rPr>
              <w:t>OLED</w:t>
            </w:r>
            <w:r>
              <w:rPr>
                <w:rFonts w:hint="eastAsia" w:ascii="宋体" w:hAnsi="宋体" w:eastAsia="宋体" w:cs="宋体"/>
                <w:kern w:val="0"/>
                <w:sz w:val="24"/>
                <w:szCs w:val="24"/>
                <w:lang w:val="en-US" w:eastAsia="zh-CN"/>
              </w:rPr>
              <w:t>升华前材料收入同比有所下降。</w:t>
            </w:r>
            <w:r>
              <w:rPr>
                <w:rFonts w:hint="eastAsia" w:ascii="宋体" w:hAnsi="宋体" w:cs="宋体"/>
                <w:kern w:val="0"/>
                <w:sz w:val="24"/>
                <w:szCs w:val="24"/>
                <w:lang w:val="en-US" w:eastAsia="zh-CN"/>
              </w:rPr>
              <w:t>2026</w:t>
            </w:r>
            <w:r>
              <w:rPr>
                <w:rFonts w:hint="eastAsia" w:ascii="宋体" w:hAnsi="宋体" w:eastAsia="宋体" w:cs="宋体"/>
                <w:kern w:val="0"/>
                <w:sz w:val="24"/>
                <w:szCs w:val="24"/>
                <w:lang w:val="en-US" w:eastAsia="zh-CN"/>
              </w:rPr>
              <w:t>年一季度</w:t>
            </w:r>
            <w:r>
              <w:rPr>
                <w:rFonts w:hint="eastAsia" w:ascii="宋体" w:hAnsi="宋体" w:cs="宋体"/>
                <w:kern w:val="0"/>
                <w:sz w:val="24"/>
                <w:szCs w:val="24"/>
                <w:lang w:val="en-US" w:eastAsia="zh-CN"/>
              </w:rPr>
              <w:t>OLED</w:t>
            </w:r>
            <w:r>
              <w:rPr>
                <w:rFonts w:hint="eastAsia" w:ascii="宋体" w:hAnsi="宋体" w:eastAsia="宋体" w:cs="宋体"/>
                <w:kern w:val="0"/>
                <w:sz w:val="24"/>
                <w:szCs w:val="24"/>
                <w:lang w:val="en-US" w:eastAsia="zh-CN"/>
              </w:rPr>
              <w:t>成品材料</w:t>
            </w:r>
            <w:r>
              <w:rPr>
                <w:rFonts w:hint="eastAsia" w:ascii="宋体" w:hAnsi="宋体" w:cs="宋体"/>
                <w:kern w:val="0"/>
                <w:sz w:val="24"/>
                <w:szCs w:val="24"/>
                <w:lang w:val="en-US" w:eastAsia="zh-CN"/>
              </w:rPr>
              <w:t>与OLED</w:t>
            </w:r>
            <w:r>
              <w:rPr>
                <w:rFonts w:hint="eastAsia" w:ascii="宋体" w:hAnsi="宋体" w:eastAsia="宋体" w:cs="宋体"/>
                <w:kern w:val="0"/>
                <w:sz w:val="24"/>
                <w:szCs w:val="24"/>
                <w:lang w:val="en-US" w:eastAsia="zh-CN"/>
              </w:rPr>
              <w:t>升华前材料</w:t>
            </w:r>
            <w:r>
              <w:rPr>
                <w:rFonts w:hint="eastAsia" w:ascii="宋体" w:hAnsi="宋体" w:cs="宋体"/>
                <w:kern w:val="0"/>
                <w:sz w:val="24"/>
                <w:szCs w:val="24"/>
                <w:lang w:val="en-US" w:eastAsia="zh-CN"/>
              </w:rPr>
              <w:t>收入均</w:t>
            </w:r>
            <w:r>
              <w:rPr>
                <w:rFonts w:hint="eastAsia" w:ascii="宋体" w:hAnsi="宋体" w:eastAsia="宋体" w:cs="宋体"/>
                <w:kern w:val="0"/>
                <w:sz w:val="24"/>
                <w:szCs w:val="24"/>
                <w:lang w:val="en-US" w:eastAsia="zh-CN"/>
              </w:rPr>
              <w:t>呈</w:t>
            </w:r>
            <w:r>
              <w:rPr>
                <w:rFonts w:hint="eastAsia" w:ascii="宋体" w:hAnsi="宋体" w:cs="宋体"/>
                <w:kern w:val="0"/>
                <w:sz w:val="24"/>
                <w:szCs w:val="24"/>
                <w:lang w:val="en-US" w:eastAsia="zh-CN"/>
              </w:rPr>
              <w:t>现同比</w:t>
            </w:r>
            <w:r>
              <w:rPr>
                <w:rFonts w:hint="eastAsia" w:ascii="宋体" w:hAnsi="宋体" w:eastAsia="宋体" w:cs="宋体"/>
                <w:kern w:val="0"/>
                <w:sz w:val="24"/>
                <w:szCs w:val="24"/>
                <w:lang w:val="en-US" w:eastAsia="zh-CN"/>
              </w:rPr>
              <w:t>增长态势</w:t>
            </w:r>
            <w:r>
              <w:rPr>
                <w:rFonts w:hint="eastAsia" w:ascii="宋体" w:hAnsi="宋体" w:cs="宋体"/>
                <w:kern w:val="0"/>
                <w:sz w:val="24"/>
                <w:szCs w:val="24"/>
                <w:lang w:val="en-US" w:eastAsia="zh-CN"/>
              </w:rPr>
              <w:t>。</w:t>
            </w:r>
          </w:p>
          <w:p>
            <w:pPr>
              <w:numPr>
                <w:ilvl w:val="-1"/>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sz w:val="24"/>
                <w:szCs w:val="24"/>
                <w:highlight w:val="none"/>
                <w:lang w:val="en-US" w:eastAsia="zh-CN"/>
              </w:rPr>
              <w:t>5</w:t>
            </w:r>
            <w:r>
              <w:rPr>
                <w:rFonts w:hint="eastAsia" w:ascii="宋体" w:hAnsi="宋体" w:cs="宋体"/>
                <w:b/>
                <w:bCs/>
                <w:spacing w:val="0"/>
                <w:kern w:val="0"/>
                <w:sz w:val="24"/>
                <w:szCs w:val="24"/>
                <w:lang w:val="en-US" w:eastAsia="zh-CN"/>
              </w:rPr>
              <w:t>、</w:t>
            </w:r>
            <w:r>
              <w:rPr>
                <w:rFonts w:hint="eastAsia" w:ascii="宋体" w:hAnsi="宋体" w:cs="宋体"/>
                <w:b/>
                <w:bCs/>
                <w:kern w:val="0"/>
                <w:sz w:val="24"/>
                <w:szCs w:val="24"/>
                <w:lang w:val="en-US" w:eastAsia="zh-CN"/>
              </w:rPr>
              <w:t>问：公司沸石分子筛产品的发展情况？</w:t>
            </w:r>
          </w:p>
          <w:p>
            <w:pPr>
              <w:numPr>
                <w:ilvl w:val="-1"/>
                <w:numId w:val="0"/>
              </w:numPr>
              <w:tabs>
                <w:tab w:val="left" w:pos="720"/>
              </w:tabs>
              <w:overflowPunct/>
              <w:autoSpaceDE w:val="0"/>
              <w:autoSpaceDN w:val="0"/>
              <w:adjustRightInd w:val="0"/>
              <w:spacing w:beforeLines="-2147483648" w:line="360" w:lineRule="auto"/>
              <w:ind w:firstLine="480" w:firstLineChars="200"/>
              <w:outlineLvl w:val="9"/>
              <w:rPr>
                <w:rFonts w:hint="eastAsia" w:ascii="宋体" w:hAnsi="宋体" w:eastAsia="宋体" w:cs="宋体"/>
                <w:kern w:val="2"/>
                <w:sz w:val="24"/>
                <w:szCs w:val="24"/>
                <w:lang w:val="en-US" w:eastAsia="zh-CN"/>
              </w:rPr>
            </w:pPr>
            <w:r>
              <w:rPr>
                <w:rFonts w:hint="eastAsia" w:ascii="宋体" w:hAnsi="宋体" w:eastAsia="宋体" w:cs="宋体"/>
                <w:sz w:val="24"/>
                <w:szCs w:val="24"/>
                <w:lang w:val="en-US" w:eastAsia="zh-CN"/>
              </w:rPr>
              <w:t>答：</w:t>
            </w:r>
            <w:r>
              <w:rPr>
                <w:rFonts w:hint="eastAsia" w:ascii="宋体" w:hAnsi="宋体" w:eastAsia="宋体" w:cs="宋体"/>
                <w:b w:val="0"/>
                <w:bCs w:val="0"/>
                <w:kern w:val="2"/>
                <w:sz w:val="24"/>
                <w:szCs w:val="24"/>
                <w:lang w:val="en-US" w:eastAsia="zh-CN"/>
              </w:rPr>
              <w:t>公司</w:t>
            </w:r>
            <w:r>
              <w:rPr>
                <w:rFonts w:hint="eastAsia" w:ascii="宋体" w:hAnsi="宋体" w:cs="宋体"/>
                <w:b w:val="0"/>
                <w:bCs w:val="0"/>
                <w:kern w:val="2"/>
                <w:sz w:val="24"/>
                <w:szCs w:val="24"/>
                <w:lang w:val="en-US" w:eastAsia="zh-CN"/>
              </w:rPr>
              <w:t>2025</w:t>
            </w:r>
            <w:r>
              <w:rPr>
                <w:rFonts w:hint="eastAsia" w:ascii="宋体" w:hAnsi="宋体" w:eastAsia="宋体" w:cs="宋体"/>
                <w:b w:val="0"/>
                <w:bCs w:val="0"/>
                <w:kern w:val="2"/>
                <w:sz w:val="24"/>
                <w:szCs w:val="24"/>
                <w:lang w:val="en-US" w:eastAsia="zh-CN"/>
              </w:rPr>
              <w:t>年度</w:t>
            </w:r>
            <w:r>
              <w:rPr>
                <w:rFonts w:hint="eastAsia" w:ascii="宋体" w:hAnsi="宋体" w:eastAsia="宋体" w:cs="宋体"/>
                <w:kern w:val="2"/>
                <w:sz w:val="24"/>
                <w:szCs w:val="24"/>
                <w:lang w:val="en-US" w:eastAsia="zh-CN"/>
              </w:rPr>
              <w:t>沸石</w:t>
            </w:r>
            <w:r>
              <w:rPr>
                <w:rFonts w:hint="eastAsia" w:ascii="宋体" w:hAnsi="宋体" w:cs="宋体"/>
                <w:kern w:val="2"/>
                <w:sz w:val="24"/>
                <w:szCs w:val="24"/>
                <w:lang w:val="en-US" w:eastAsia="zh-CN"/>
              </w:rPr>
              <w:t>分子筛产品收入略低于2024年度</w:t>
            </w:r>
            <w:r>
              <w:rPr>
                <w:rFonts w:hint="eastAsia" w:ascii="宋体" w:hAnsi="宋体" w:eastAsia="宋体" w:cs="宋体"/>
                <w:kern w:val="2"/>
                <w:sz w:val="24"/>
                <w:szCs w:val="24"/>
                <w:lang w:val="en-US" w:eastAsia="zh-CN"/>
              </w:rPr>
              <w:t>，</w:t>
            </w:r>
            <w:r>
              <w:rPr>
                <w:rFonts w:hint="eastAsia" w:ascii="宋体" w:hAnsi="宋体" w:cs="宋体"/>
                <w:b w:val="0"/>
                <w:bCs w:val="0"/>
                <w:kern w:val="2"/>
                <w:sz w:val="24"/>
                <w:szCs w:val="24"/>
                <w:lang w:val="en-US" w:eastAsia="zh-CN"/>
              </w:rPr>
              <w:t>2026</w:t>
            </w:r>
            <w:r>
              <w:rPr>
                <w:rFonts w:hint="eastAsia" w:ascii="宋体" w:hAnsi="宋体" w:eastAsia="宋体" w:cs="宋体"/>
                <w:b w:val="0"/>
                <w:bCs w:val="0"/>
                <w:kern w:val="2"/>
                <w:sz w:val="24"/>
                <w:szCs w:val="24"/>
                <w:lang w:val="en-US" w:eastAsia="zh-CN"/>
              </w:rPr>
              <w:t>年一季度收入</w:t>
            </w:r>
            <w:r>
              <w:rPr>
                <w:rFonts w:hint="eastAsia" w:ascii="宋体" w:hAnsi="宋体" w:cs="宋体"/>
                <w:b w:val="0"/>
                <w:bCs w:val="0"/>
                <w:kern w:val="2"/>
                <w:sz w:val="24"/>
                <w:szCs w:val="24"/>
                <w:lang w:val="en-US" w:eastAsia="zh-CN"/>
              </w:rPr>
              <w:t>较比2025年一季度有所增长，</w:t>
            </w:r>
            <w:r>
              <w:rPr>
                <w:rFonts w:hint="eastAsia" w:ascii="宋体" w:hAnsi="宋体" w:eastAsia="宋体" w:cs="宋体"/>
                <w:color w:val="000000"/>
                <w:kern w:val="0"/>
                <w:sz w:val="24"/>
                <w:highlight w:val="none"/>
                <w:lang w:val="en-US" w:eastAsia="zh-CN"/>
              </w:rPr>
              <w:t>收入包含在公司功能性材料收入中</w:t>
            </w:r>
            <w:r>
              <w:rPr>
                <w:rFonts w:hint="eastAsia" w:ascii="宋体" w:hAnsi="宋体" w:eastAsia="宋体" w:cs="宋体"/>
                <w:kern w:val="2"/>
                <w:sz w:val="24"/>
                <w:szCs w:val="24"/>
                <w:lang w:val="en-US" w:eastAsia="zh-CN"/>
              </w:rPr>
              <w:t>。为应对车用沸石分子筛产品下游需求的</w:t>
            </w:r>
            <w:r>
              <w:rPr>
                <w:rFonts w:hint="eastAsia" w:ascii="宋体" w:hAnsi="宋体" w:cs="宋体"/>
                <w:kern w:val="2"/>
                <w:sz w:val="24"/>
                <w:szCs w:val="24"/>
                <w:lang w:val="en-US" w:eastAsia="zh-CN"/>
              </w:rPr>
              <w:t>变化</w:t>
            </w:r>
            <w:r>
              <w:rPr>
                <w:rFonts w:hint="eastAsia" w:ascii="宋体" w:hAnsi="宋体" w:eastAsia="宋体" w:cs="宋体"/>
                <w:kern w:val="2"/>
                <w:sz w:val="24"/>
                <w:szCs w:val="24"/>
                <w:lang w:val="en-US" w:eastAsia="zh-CN"/>
              </w:rPr>
              <w:t>，公司积极开发并推广石油化工催化领域的沸石分子筛产品，2025年</w:t>
            </w:r>
            <w:r>
              <w:rPr>
                <w:rFonts w:hint="eastAsia" w:ascii="宋体" w:hAnsi="宋体" w:eastAsia="宋体" w:cs="宋体"/>
                <w:sz w:val="24"/>
                <w:szCs w:val="24"/>
              </w:rPr>
              <w:t>公司与中国石化催化剂有限公司签署《项目合作意向书》</w:t>
            </w:r>
            <w:r>
              <w:rPr>
                <w:rFonts w:hint="eastAsia" w:ascii="宋体" w:hAnsi="宋体" w:eastAsia="宋体" w:cs="宋体"/>
                <w:kern w:val="2"/>
                <w:sz w:val="24"/>
                <w:szCs w:val="24"/>
                <w:lang w:val="en-US" w:eastAsia="zh-CN"/>
              </w:rPr>
              <w:t>，现已有石油化工催化领域沸石分子筛产品实现销售，因该业务往来属于关联交易，如达到关联交易披露标准将及时披露。</w:t>
            </w:r>
          </w:p>
          <w:p>
            <w:pPr>
              <w:numPr>
                <w:ilvl w:val="-1"/>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6、问：公司生命科学与医药业务的发展情况？</w:t>
            </w:r>
          </w:p>
          <w:p>
            <w:pPr>
              <w:numPr>
                <w:ilvl w:val="0"/>
                <w:numId w:val="0"/>
              </w:numPr>
              <w:tabs>
                <w:tab w:val="left" w:pos="720"/>
              </w:tabs>
              <w:autoSpaceDE w:val="0"/>
              <w:autoSpaceDN w:val="0"/>
              <w:adjustRightInd w:val="0"/>
              <w:spacing w:line="360" w:lineRule="auto"/>
              <w:ind w:firstLine="480" w:firstLineChars="200"/>
              <w:rPr>
                <w:rFonts w:hint="default" w:ascii="宋体" w:hAnsi="宋体" w:eastAsia="宋体" w:cs="宋体"/>
                <w:b w:val="0"/>
                <w:bCs w:val="0"/>
                <w:kern w:val="0"/>
                <w:sz w:val="24"/>
                <w:szCs w:val="24"/>
                <w:highlight w:val="none"/>
                <w:lang w:val="en-US" w:eastAsia="zh-CN"/>
              </w:rPr>
            </w:pPr>
            <w:r>
              <w:rPr>
                <w:rFonts w:hint="eastAsia" w:ascii="宋体" w:hAnsi="宋体" w:eastAsia="宋体" w:cs="宋体"/>
                <w:sz w:val="24"/>
                <w:szCs w:val="24"/>
                <w:lang w:val="en-US" w:eastAsia="zh-CN"/>
              </w:rPr>
              <w:t>答：</w:t>
            </w:r>
            <w:r>
              <w:rPr>
                <w:rFonts w:hint="eastAsia" w:ascii="宋体" w:hAnsi="宋体" w:cs="宋体"/>
                <w:sz w:val="24"/>
                <w:szCs w:val="24"/>
                <w:lang w:val="en-US" w:eastAsia="zh-CN"/>
              </w:rPr>
              <w:t>公司生命科学与医药业务2025年实现收入约7.48亿元，较比去年同期增长约18.91%</w:t>
            </w:r>
            <w:r>
              <w:rPr>
                <w:rFonts w:hint="eastAsia" w:ascii="宋体" w:hAnsi="宋体" w:cs="宋体"/>
                <w:kern w:val="0"/>
                <w:sz w:val="24"/>
                <w:szCs w:val="24"/>
                <w:lang w:val="en-US" w:eastAsia="zh-CN"/>
              </w:rPr>
              <w:t>。</w:t>
            </w:r>
            <w:r>
              <w:rPr>
                <w:rFonts w:hint="eastAsia" w:ascii="宋体" w:hAnsi="宋体" w:cs="宋体"/>
                <w:sz w:val="24"/>
                <w:szCs w:val="24"/>
                <w:lang w:val="en-US" w:eastAsia="zh-CN"/>
              </w:rPr>
              <w:t>2026</w:t>
            </w:r>
            <w:r>
              <w:rPr>
                <w:rFonts w:hint="eastAsia" w:ascii="宋体" w:hAnsi="宋体" w:eastAsia="宋体" w:cs="宋体"/>
                <w:sz w:val="24"/>
                <w:szCs w:val="24"/>
                <w:lang w:val="en-US" w:eastAsia="zh-CN"/>
              </w:rPr>
              <w:t>年一季度</w:t>
            </w:r>
            <w:r>
              <w:rPr>
                <w:rFonts w:hint="eastAsia" w:ascii="宋体" w:hAnsi="宋体" w:cs="宋体"/>
                <w:sz w:val="24"/>
                <w:szCs w:val="24"/>
                <w:lang w:val="en-US" w:eastAsia="zh-CN"/>
              </w:rPr>
              <w:t>公司生命科学与医药业务</w:t>
            </w:r>
            <w:r>
              <w:rPr>
                <w:rFonts w:hint="eastAsia" w:ascii="宋体" w:hAnsi="宋体" w:eastAsia="宋体" w:cs="宋体"/>
                <w:sz w:val="24"/>
                <w:szCs w:val="24"/>
                <w:lang w:val="en-US" w:eastAsia="zh-CN"/>
              </w:rPr>
              <w:t>收入情况较比去年同期</w:t>
            </w:r>
            <w:r>
              <w:rPr>
                <w:rFonts w:hint="eastAsia" w:ascii="宋体" w:hAnsi="宋体" w:cs="宋体"/>
                <w:sz w:val="24"/>
                <w:szCs w:val="24"/>
                <w:lang w:val="en-US" w:eastAsia="zh-CN"/>
              </w:rPr>
              <w:t>有所下降</w:t>
            </w:r>
            <w:r>
              <w:rPr>
                <w:rFonts w:hint="default" w:ascii="宋体" w:hAnsi="宋体" w:eastAsia="宋体" w:cs="宋体"/>
                <w:b w:val="0"/>
                <w:bCs w:val="0"/>
                <w:kern w:val="0"/>
                <w:sz w:val="24"/>
                <w:szCs w:val="24"/>
                <w:highlight w:val="none"/>
                <w:lang w:val="en-US" w:eastAsia="zh-CN"/>
              </w:rPr>
              <w:t>。</w:t>
            </w:r>
          </w:p>
          <w:p>
            <w:pPr>
              <w:numPr>
                <w:ilvl w:val="-1"/>
                <w:numId w:val="0"/>
              </w:numPr>
              <w:tabs>
                <w:tab w:val="left" w:pos="720"/>
              </w:tabs>
              <w:autoSpaceDE w:val="0"/>
              <w:autoSpaceDN w:val="0"/>
              <w:adjustRightInd w:val="0"/>
              <w:spacing w:before="0" w:beforeLines="-2147483648" w:line="360" w:lineRule="auto"/>
              <w:ind w:firstLine="480" w:firstLineChars="200"/>
              <w:rPr>
                <w:rFonts w:hint="eastAsia" w:ascii="宋体" w:hAnsi="宋体" w:cs="宋体"/>
                <w:b/>
                <w:bCs/>
                <w:kern w:val="0"/>
                <w:sz w:val="24"/>
                <w:szCs w:val="24"/>
                <w:lang w:val="en-US" w:eastAsia="zh-CN"/>
              </w:rPr>
            </w:pPr>
            <w:r>
              <w:rPr>
                <w:rFonts w:hint="eastAsia" w:ascii="宋体" w:hAnsi="宋体" w:cs="宋体"/>
                <w:kern w:val="0"/>
                <w:sz w:val="24"/>
                <w:szCs w:val="24"/>
                <w:lang w:val="en-US" w:eastAsia="zh-CN"/>
              </w:rPr>
              <w:t>7</w:t>
            </w:r>
            <w:r>
              <w:rPr>
                <w:rFonts w:hint="eastAsia" w:ascii="宋体" w:hAnsi="宋体" w:cs="宋体"/>
                <w:b/>
                <w:bCs/>
                <w:kern w:val="0"/>
                <w:sz w:val="24"/>
                <w:szCs w:val="24"/>
                <w:lang w:val="en-US" w:eastAsia="zh-CN"/>
              </w:rPr>
              <w:t>、问：公司主要股东增持情况与公司回购情况？</w:t>
            </w:r>
          </w:p>
          <w:p>
            <w:pPr>
              <w:numPr>
                <w:ilvl w:val="-1"/>
                <w:numId w:val="0"/>
              </w:numPr>
              <w:tabs>
                <w:tab w:val="left" w:pos="720"/>
              </w:tabs>
              <w:overflowPunct/>
              <w:autoSpaceDE w:val="0"/>
              <w:autoSpaceDN w:val="0"/>
              <w:adjustRightInd w:val="0"/>
              <w:spacing w:beforeLines="-2147483648" w:line="360" w:lineRule="auto"/>
              <w:ind w:firstLine="480" w:firstLineChars="200"/>
              <w:outlineLvl w:val="9"/>
              <w:rPr>
                <w:rFonts w:hint="eastAsia" w:ascii="宋体" w:hAnsi="宋体" w:eastAsia="宋体" w:cs="宋体"/>
                <w:color w:val="000000"/>
                <w:kern w:val="0"/>
                <w:sz w:val="24"/>
                <w:szCs w:val="21"/>
                <w:highlight w:val="none"/>
                <w:lang w:val="en-US" w:eastAsia="zh-CN"/>
              </w:rPr>
            </w:pPr>
            <w:r>
              <w:rPr>
                <w:rFonts w:hint="eastAsia" w:ascii="宋体" w:hAnsi="宋体" w:eastAsia="宋体" w:cs="宋体"/>
                <w:color w:val="000000"/>
                <w:kern w:val="0"/>
                <w:sz w:val="24"/>
                <w:highlight w:val="none"/>
                <w:lang w:val="en-US" w:eastAsia="zh-CN"/>
              </w:rPr>
              <w:t>答：公司控股股东</w:t>
            </w:r>
            <w:r>
              <w:rPr>
                <w:rFonts w:hint="eastAsia" w:ascii="宋体" w:hAnsi="宋体" w:eastAsia="宋体" w:cs="宋体"/>
                <w:color w:val="000000"/>
                <w:kern w:val="0"/>
                <w:sz w:val="24"/>
                <w:szCs w:val="21"/>
                <w:highlight w:val="none"/>
                <w:lang w:val="en-US" w:eastAsia="zh-CN"/>
              </w:rPr>
              <w:t>中国节能基于对公司未来发展前景的信心和对公司长期投资价值的认可，通过集中竞价的交易方式自2025年11月24日至2026年5月23日</w:t>
            </w:r>
            <w:r>
              <w:rPr>
                <w:rFonts w:hint="eastAsia" w:ascii="宋体" w:hAnsi="宋体" w:cs="宋体"/>
                <w:color w:val="000000"/>
                <w:kern w:val="0"/>
                <w:sz w:val="24"/>
                <w:szCs w:val="21"/>
                <w:highlight w:val="none"/>
                <w:lang w:val="en-US" w:eastAsia="zh-CN"/>
              </w:rPr>
              <w:t>期间</w:t>
            </w:r>
            <w:r>
              <w:rPr>
                <w:rFonts w:hint="eastAsia" w:ascii="宋体" w:hAnsi="宋体" w:eastAsia="宋体" w:cs="宋体"/>
                <w:color w:val="000000"/>
                <w:kern w:val="0"/>
                <w:sz w:val="24"/>
                <w:szCs w:val="21"/>
                <w:highlight w:val="none"/>
                <w:lang w:val="en-US" w:eastAsia="zh-CN"/>
              </w:rPr>
              <w:t>实施增持，</w:t>
            </w:r>
            <w:r>
              <w:rPr>
                <w:rFonts w:hint="eastAsia" w:ascii="宋体" w:hAnsi="宋体" w:eastAsia="宋体" w:cs="宋体"/>
                <w:color w:val="000000"/>
                <w:kern w:val="0"/>
                <w:sz w:val="24"/>
                <w:highlight w:val="none"/>
                <w:lang w:val="en-US" w:eastAsia="zh-CN"/>
              </w:rPr>
              <w:t>累计增持公司股份44,363,318股，增持金额为人民币</w:t>
            </w:r>
            <w:r>
              <w:rPr>
                <w:rFonts w:hint="eastAsia" w:ascii="宋体" w:hAnsi="宋体" w:eastAsia="宋体" w:cs="宋体"/>
                <w:color w:val="000000"/>
                <w:kern w:val="0"/>
                <w:sz w:val="24"/>
                <w:highlight w:val="none"/>
                <w:shd w:val="clear"/>
                <w:lang w:val="en-US" w:eastAsia="zh-CN"/>
              </w:rPr>
              <w:t>725,737,870</w:t>
            </w:r>
            <w:r>
              <w:rPr>
                <w:rFonts w:hint="eastAsia" w:ascii="宋体" w:hAnsi="宋体" w:eastAsia="宋体" w:cs="宋体"/>
                <w:color w:val="000000"/>
                <w:kern w:val="0"/>
                <w:sz w:val="24"/>
                <w:highlight w:val="none"/>
                <w:lang w:val="en-US" w:eastAsia="zh-CN"/>
              </w:rPr>
              <w:t>元</w:t>
            </w:r>
            <w:r>
              <w:rPr>
                <w:rFonts w:hint="eastAsia" w:ascii="宋体" w:hAnsi="宋体" w:eastAsia="宋体" w:cs="宋体"/>
                <w:color w:val="000000"/>
                <w:kern w:val="0"/>
                <w:sz w:val="24"/>
                <w:szCs w:val="21"/>
                <w:highlight w:val="none"/>
                <w:lang w:val="en-US" w:eastAsia="zh-CN"/>
              </w:rPr>
              <w:t>。</w:t>
            </w:r>
          </w:p>
          <w:p>
            <w:pPr>
              <w:numPr>
                <w:ilvl w:val="-1"/>
                <w:numId w:val="0"/>
              </w:numPr>
              <w:tabs>
                <w:tab w:val="left" w:pos="720"/>
              </w:tabs>
              <w:overflowPunct/>
              <w:autoSpaceDE w:val="0"/>
              <w:autoSpaceDN w:val="0"/>
              <w:adjustRightInd w:val="0"/>
              <w:spacing w:beforeLines="-2147483648"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eastAsia="宋体" w:cs="宋体"/>
                <w:color w:val="000000"/>
                <w:kern w:val="0"/>
                <w:sz w:val="24"/>
                <w:highlight w:val="none"/>
                <w:lang w:val="en-US" w:eastAsia="zh-CN"/>
              </w:rPr>
              <w:t>公司</w:t>
            </w:r>
            <w:r>
              <w:rPr>
                <w:rFonts w:hint="eastAsia" w:ascii="宋体" w:hAnsi="宋体" w:eastAsia="宋体" w:cs="宋体"/>
                <w:color w:val="000000"/>
                <w:kern w:val="0"/>
                <w:sz w:val="24"/>
                <w:szCs w:val="21"/>
                <w:highlight w:val="none"/>
                <w:lang w:val="en-US" w:eastAsia="zh-CN"/>
              </w:rPr>
              <w:t>为维护公司全体股东利益，增强投资者信心，通过集中竞价的交易方式</w:t>
            </w:r>
            <w:r>
              <w:rPr>
                <w:rFonts w:hint="eastAsia" w:ascii="宋体" w:hAnsi="宋体" w:cs="宋体"/>
                <w:color w:val="000000"/>
                <w:kern w:val="0"/>
                <w:sz w:val="24"/>
                <w:szCs w:val="21"/>
                <w:highlight w:val="none"/>
                <w:lang w:val="en-US" w:eastAsia="zh-CN"/>
              </w:rPr>
              <w:t>自</w:t>
            </w:r>
            <w:r>
              <w:rPr>
                <w:rFonts w:hint="eastAsia" w:ascii="宋体" w:hAnsi="宋体" w:eastAsia="宋体" w:cs="宋体"/>
                <w:color w:val="000000"/>
                <w:kern w:val="0"/>
                <w:sz w:val="24"/>
                <w:szCs w:val="21"/>
                <w:highlight w:val="none"/>
                <w:lang w:val="en-US" w:eastAsia="zh-CN"/>
              </w:rPr>
              <w:t>2025年5月22日至2026年5月21日</w:t>
            </w:r>
            <w:r>
              <w:rPr>
                <w:rFonts w:hint="eastAsia" w:ascii="宋体" w:hAnsi="宋体" w:cs="宋体"/>
                <w:color w:val="000000"/>
                <w:kern w:val="0"/>
                <w:sz w:val="24"/>
                <w:szCs w:val="21"/>
                <w:highlight w:val="none"/>
                <w:lang w:val="en-US" w:eastAsia="zh-CN"/>
              </w:rPr>
              <w:t>期间</w:t>
            </w:r>
            <w:r>
              <w:rPr>
                <w:rFonts w:hint="eastAsia" w:ascii="宋体" w:hAnsi="宋体" w:eastAsia="宋体" w:cs="宋体"/>
                <w:color w:val="000000"/>
                <w:kern w:val="0"/>
                <w:sz w:val="24"/>
                <w:szCs w:val="21"/>
                <w:highlight w:val="none"/>
                <w:lang w:val="en-US" w:eastAsia="zh-CN"/>
              </w:rPr>
              <w:t>实施</w:t>
            </w:r>
            <w:r>
              <w:rPr>
                <w:rFonts w:hint="eastAsia" w:ascii="宋体" w:hAnsi="宋体" w:eastAsia="宋体" w:cs="宋体"/>
                <w:color w:val="000000"/>
                <w:kern w:val="0"/>
                <w:sz w:val="24"/>
                <w:highlight w:val="none"/>
                <w:lang w:val="en-US" w:eastAsia="zh-CN"/>
              </w:rPr>
              <w:t>回购，累计回购公司股份7,059,200股，使用资金总额为100,082,059.02元</w:t>
            </w:r>
            <w:r>
              <w:rPr>
                <w:rFonts w:hint="eastAsia" w:ascii="宋体" w:hAnsi="宋体" w:eastAsia="宋体" w:cs="宋体"/>
                <w:color w:val="000000"/>
                <w:kern w:val="0"/>
                <w:sz w:val="24"/>
                <w:szCs w:val="21"/>
                <w:highlight w:val="none"/>
                <w:lang w:val="en-US" w:eastAsia="zh-CN"/>
              </w:rPr>
              <w:t>。</w:t>
            </w:r>
            <w:r>
              <w:rPr>
                <w:rFonts w:hint="eastAsia" w:ascii="宋体" w:hAnsi="宋体" w:cs="宋体"/>
                <w:color w:val="000000"/>
                <w:kern w:val="0"/>
                <w:sz w:val="24"/>
                <w:szCs w:val="21"/>
                <w:highlight w:val="none"/>
                <w:lang w:val="en-US" w:eastAsia="zh-CN"/>
              </w:rPr>
              <w:t>现已完成本次回购股份的</w:t>
            </w:r>
            <w:r>
              <w:rPr>
                <w:rFonts w:hint="eastAsia" w:ascii="宋体" w:hAnsi="宋体" w:eastAsia="宋体" w:cs="宋体"/>
                <w:color w:val="000000"/>
                <w:kern w:val="0"/>
                <w:sz w:val="24"/>
                <w:highlight w:val="none"/>
                <w:lang w:val="en-US" w:eastAsia="zh-CN"/>
              </w:rPr>
              <w:t>注销工作，公司总股本由922,959,225股变更为915,900,025股。</w:t>
            </w:r>
          </w:p>
          <w:p>
            <w:pPr>
              <w:numPr>
                <w:ilvl w:val="-1"/>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8、问：公司的固态电池材料情况？</w:t>
            </w:r>
          </w:p>
          <w:p>
            <w:pPr>
              <w:numPr>
                <w:ilvl w:val="-1"/>
                <w:numId w:val="0"/>
              </w:numPr>
              <w:tabs>
                <w:tab w:val="left" w:pos="720"/>
              </w:tabs>
              <w:autoSpaceDE w:val="0"/>
              <w:autoSpaceDN w:val="0"/>
              <w:adjustRightIn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w:t>
            </w:r>
            <w:r>
              <w:rPr>
                <w:rFonts w:hint="eastAsia" w:ascii="宋体" w:hAnsi="宋体" w:cs="宋体"/>
                <w:sz w:val="24"/>
                <w:szCs w:val="24"/>
                <w:lang w:val="en-US" w:eastAsia="zh-CN"/>
              </w:rPr>
              <w:t>公司布局的硫化锂材料为固态电池电解质的主要上游材料之一。</w:t>
            </w:r>
            <w:r>
              <w:rPr>
                <w:rFonts w:hint="eastAsia" w:ascii="宋体" w:hAnsi="宋体" w:eastAsia="宋体" w:cs="宋体"/>
                <w:sz w:val="24"/>
                <w:szCs w:val="24"/>
                <w:lang w:val="en-US" w:eastAsia="zh-CN"/>
              </w:rPr>
              <w:t>前期公司固态电池材料硫化锂的实验室小试开发工作已完成</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硫化锂的中试线已按原计划完成建设，</w:t>
            </w:r>
            <w:r>
              <w:rPr>
                <w:rFonts w:hint="eastAsia" w:ascii="宋体" w:hAnsi="宋体" w:cs="宋体"/>
                <w:sz w:val="24"/>
                <w:szCs w:val="24"/>
                <w:lang w:val="en-US" w:eastAsia="zh-CN"/>
              </w:rPr>
              <w:t>现</w:t>
            </w:r>
            <w:r>
              <w:rPr>
                <w:rFonts w:hint="eastAsia" w:ascii="宋体" w:hAnsi="宋体" w:eastAsia="宋体" w:cs="宋体"/>
                <w:sz w:val="24"/>
                <w:szCs w:val="24"/>
                <w:lang w:val="en-US" w:eastAsia="zh-CN"/>
              </w:rPr>
              <w:t>已开展中试工作。</w:t>
            </w:r>
          </w:p>
          <w:p>
            <w:pPr>
              <w:numPr>
                <w:ilvl w:val="-1"/>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9、问：公司钙钛矿光伏材料的发展情况？</w:t>
            </w:r>
          </w:p>
          <w:p>
            <w:pPr>
              <w:numPr>
                <w:ilvl w:val="-1"/>
                <w:numId w:val="0"/>
              </w:numPr>
              <w:tabs>
                <w:tab w:val="left" w:pos="720"/>
              </w:tabs>
              <w:overflowPunct/>
              <w:autoSpaceDE w:val="0"/>
              <w:autoSpaceDN w:val="0"/>
              <w:adjustRightInd w:val="0"/>
              <w:spacing w:beforeLines="-2147483648" w:line="360" w:lineRule="auto"/>
              <w:ind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目前公司布局的钙钛矿光伏材料主要包括空穴传输层材料、电子传输层材料、钙钛矿层材料、SAMs材料等，各类材料均有产品实现销售。目前公司在钙钛矿光伏材料领域，已开发了超100种化合物，另外公司钙钛矿光伏胶膜也已开始送样。目前虽然行业下游钙钛矿光伏组件尚未达到大规模商业化应用阶段，但下游钙钛矿光伏组件技术水平持续进步，效率及稳定性</w:t>
            </w:r>
            <w:r>
              <w:rPr>
                <w:rFonts w:hint="eastAsia" w:ascii="宋体" w:hAnsi="宋体" w:cs="宋体"/>
                <w:sz w:val="24"/>
                <w:szCs w:val="24"/>
                <w:lang w:val="en-US" w:eastAsia="zh-CN"/>
              </w:rPr>
              <w:t>等关键指标</w:t>
            </w:r>
            <w:r>
              <w:rPr>
                <w:rFonts w:hint="eastAsia" w:ascii="宋体" w:hAnsi="宋体" w:eastAsia="宋体" w:cs="宋体"/>
                <w:sz w:val="24"/>
                <w:szCs w:val="24"/>
                <w:lang w:val="en-US" w:eastAsia="zh-CN"/>
              </w:rPr>
              <w:t>持续提升。未来我们将继续以高品质的钙钛矿光伏材料助力下游企业更好发展。</w:t>
            </w:r>
          </w:p>
          <w:p>
            <w:pPr>
              <w:numPr>
                <w:ilvl w:val="-1"/>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10、问：公司PSPI是否有应用到玻璃基封装领域？</w:t>
            </w:r>
          </w:p>
          <w:p>
            <w:pPr>
              <w:keepNext w:val="0"/>
              <w:keepLines w:val="0"/>
              <w:pageBreakBefore w:val="0"/>
              <w:widowControl w:val="0"/>
              <w:numPr>
                <w:ilvl w:val="-1"/>
                <w:numId w:val="0"/>
              </w:numPr>
              <w:tabs>
                <w:tab w:val="left" w:pos="720"/>
              </w:tabs>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b w:val="0"/>
                <w:bCs w:val="0"/>
                <w:kern w:val="0"/>
                <w:sz w:val="24"/>
                <w:szCs w:val="24"/>
                <w:highlight w:val="none"/>
                <w:lang w:val="en-US" w:eastAsia="zh-CN"/>
              </w:rPr>
            </w:pPr>
            <w:r>
              <w:rPr>
                <w:rFonts w:hint="eastAsia" w:ascii="宋体" w:hAnsi="宋体" w:eastAsia="宋体" w:cs="宋体"/>
                <w:sz w:val="24"/>
                <w:szCs w:val="24"/>
                <w:lang w:val="en-US" w:eastAsia="zh-CN"/>
              </w:rPr>
              <w:t>答：</w:t>
            </w:r>
            <w:r>
              <w:rPr>
                <w:rFonts w:hint="eastAsia" w:ascii="宋体" w:hAnsi="宋体" w:cs="宋体"/>
                <w:sz w:val="24"/>
                <w:szCs w:val="24"/>
                <w:lang w:val="en-US" w:eastAsia="zh-CN"/>
              </w:rPr>
              <w:t>公司PSPI产品目前没有应用到该领域。公司</w:t>
            </w:r>
            <w:r>
              <w:rPr>
                <w:rFonts w:hint="eastAsia" w:ascii="宋体" w:hAnsi="宋体" w:cs="宋体"/>
                <w:kern w:val="0"/>
                <w:sz w:val="24"/>
                <w:szCs w:val="24"/>
                <w:lang w:val="en-US" w:eastAsia="zh-CN"/>
              </w:rPr>
              <w:t>PSPI</w:t>
            </w:r>
            <w:r>
              <w:rPr>
                <w:rFonts w:hint="eastAsia" w:ascii="宋体" w:hAnsi="宋体" w:eastAsia="宋体" w:cs="宋体"/>
                <w:kern w:val="0"/>
                <w:sz w:val="24"/>
                <w:szCs w:val="24"/>
                <w:lang w:val="en-US" w:eastAsia="zh-CN"/>
              </w:rPr>
              <w:t>成品材料</w:t>
            </w:r>
            <w:r>
              <w:rPr>
                <w:rFonts w:hint="eastAsia" w:ascii="宋体" w:hAnsi="宋体" w:cs="宋体"/>
                <w:sz w:val="24"/>
                <w:szCs w:val="24"/>
                <w:lang w:val="en-US" w:eastAsia="zh-CN"/>
              </w:rPr>
              <w:t>现</w:t>
            </w:r>
            <w:r>
              <w:rPr>
                <w:rFonts w:hint="eastAsia" w:ascii="宋体" w:hAnsi="宋体" w:cs="宋体"/>
                <w:kern w:val="0"/>
                <w:sz w:val="24"/>
                <w:szCs w:val="24"/>
                <w:lang w:val="en-US" w:eastAsia="zh-CN"/>
              </w:rPr>
              <w:t>用于OLED显示面板</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产品</w:t>
            </w:r>
            <w:r>
              <w:rPr>
                <w:rFonts w:hint="eastAsia" w:ascii="宋体" w:hAnsi="宋体" w:eastAsia="宋体" w:cs="宋体"/>
                <w:kern w:val="0"/>
                <w:sz w:val="24"/>
                <w:szCs w:val="24"/>
                <w:lang w:val="en-US" w:eastAsia="zh-CN"/>
              </w:rPr>
              <w:t>销往下游</w:t>
            </w:r>
            <w:r>
              <w:rPr>
                <w:rFonts w:hint="eastAsia" w:ascii="宋体" w:hAnsi="宋体" w:cs="宋体"/>
                <w:kern w:val="0"/>
                <w:sz w:val="24"/>
                <w:szCs w:val="24"/>
                <w:lang w:val="en-US" w:eastAsia="zh-CN"/>
              </w:rPr>
              <w:t>OLED面板制造企业。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color w:val="000000"/>
                <w:kern w:val="0"/>
                <w:sz w:val="24"/>
                <w:szCs w:val="24"/>
              </w:rPr>
            </w:pPr>
            <w:r>
              <w:rPr>
                <w:rFonts w:hint="eastAsia" w:ascii="宋体" w:hAnsi="宋体" w:cs="宋体"/>
                <w:color w:val="000000"/>
                <w:kern w:val="0"/>
                <w:sz w:val="24"/>
                <w:szCs w:val="24"/>
                <w:lang w:val="en-US" w:eastAsia="zh-CN"/>
              </w:rPr>
              <w:t>关于本次活动是否涉及应披露重大信息的说明</w:t>
            </w:r>
          </w:p>
        </w:tc>
        <w:tc>
          <w:tcPr>
            <w:tcW w:w="7800" w:type="dxa"/>
            <w:gridSpan w:val="2"/>
            <w:tcBorders>
              <w:top w:val="single" w:color="auto" w:sz="4" w:space="0"/>
              <w:left w:val="single" w:color="auto" w:sz="4" w:space="0"/>
              <w:bottom w:val="single" w:color="auto" w:sz="4" w:space="0"/>
              <w:right w:val="single" w:color="auto" w:sz="4" w:space="0"/>
            </w:tcBorders>
            <w:vAlign w:val="center"/>
          </w:tcPr>
          <w:p>
            <w:pPr>
              <w:spacing w:line="480" w:lineRule="atLeast"/>
              <w:jc w:val="both"/>
              <w:rPr>
                <w:rFonts w:hint="eastAsia" w:ascii="宋体" w:eastAsia="宋体"/>
                <w:color w:val="000000"/>
                <w:kern w:val="0"/>
                <w:sz w:val="24"/>
                <w:szCs w:val="24"/>
                <w:lang w:val="en-US" w:eastAsia="zh-CN"/>
              </w:rPr>
            </w:pPr>
            <w:r>
              <w:rPr>
                <w:rFonts w:hint="eastAsia" w:ascii="宋体"/>
                <w:color w:val="000000"/>
                <w:kern w:val="0"/>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color w:val="000000"/>
                <w:kern w:val="0"/>
                <w:sz w:val="24"/>
                <w:szCs w:val="24"/>
              </w:rPr>
            </w:pPr>
            <w:r>
              <w:rPr>
                <w:rFonts w:hint="eastAsia" w:ascii="宋体" w:hAnsi="宋体" w:cs="宋体"/>
                <w:color w:val="000000"/>
                <w:kern w:val="0"/>
                <w:sz w:val="24"/>
                <w:szCs w:val="24"/>
                <w:lang w:val="en-US" w:eastAsia="zh-CN"/>
              </w:rPr>
              <w:t>活动过程中所使用的演示文稿、提供的文档等附件（如有，可作为附件）</w:t>
            </w:r>
          </w:p>
        </w:tc>
        <w:tc>
          <w:tcPr>
            <w:tcW w:w="7800" w:type="dxa"/>
            <w:gridSpan w:val="2"/>
            <w:tcBorders>
              <w:top w:val="single" w:color="auto" w:sz="4" w:space="0"/>
              <w:left w:val="single" w:color="auto" w:sz="4" w:space="0"/>
              <w:bottom w:val="single" w:color="auto" w:sz="4" w:space="0"/>
              <w:right w:val="single" w:color="auto" w:sz="4" w:space="0"/>
            </w:tcBorders>
            <w:vAlign w:val="center"/>
          </w:tcPr>
          <w:p>
            <w:pPr>
              <w:spacing w:line="480" w:lineRule="atLeast"/>
              <w:jc w:val="both"/>
              <w:rPr>
                <w:rFonts w:hint="eastAsia" w:ascii="宋体" w:eastAsia="宋体"/>
                <w:color w:val="000000"/>
                <w:kern w:val="0"/>
                <w:sz w:val="24"/>
                <w:szCs w:val="24"/>
                <w:lang w:val="en-US" w:eastAsia="zh-CN"/>
              </w:rPr>
            </w:pPr>
            <w:r>
              <w:rPr>
                <w:rFonts w:hint="eastAsia" w:ascii="宋体" w:hAnsi="宋体" w:eastAsia="宋体" w:cs="宋体"/>
                <w:color w:val="000000"/>
                <w:kern w:val="0"/>
                <w:sz w:val="24"/>
                <w:szCs w:val="24"/>
                <w:lang w:val="en-US" w:eastAsia="zh-CN"/>
              </w:rPr>
              <w:t>无</w:t>
            </w:r>
          </w:p>
        </w:tc>
      </w:tr>
    </w:tbl>
    <w:p>
      <w:pPr>
        <w:rPr>
          <w:rFonts w:hint="eastAsia"/>
        </w:rPr>
      </w:pPr>
    </w:p>
    <w:sectPr>
      <w:footerReference r:id="rId3" w:type="default"/>
      <w:pgSz w:w="11906" w:h="16838"/>
      <w:pgMar w:top="1440" w:right="851" w:bottom="144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0RYBixgEAAHMDAAAOAAAAAAAAAAEAIAAAAB4BAABkcnMvZTJvRG9jLnht&#10;bFBLBQYAAAAABgAGAFkBAABWBQ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YTY1MDhjYTc2NWQ5Yjg5OTA3MDQ1YmQ0MWRiOTAifQ=="/>
  </w:docVars>
  <w:rsids>
    <w:rsidRoot w:val="00667B39"/>
    <w:rsid w:val="000006D2"/>
    <w:rsid w:val="0000662B"/>
    <w:rsid w:val="0001122A"/>
    <w:rsid w:val="000172B8"/>
    <w:rsid w:val="000203E4"/>
    <w:rsid w:val="00022837"/>
    <w:rsid w:val="000242AB"/>
    <w:rsid w:val="000307CD"/>
    <w:rsid w:val="00030DBB"/>
    <w:rsid w:val="0003238E"/>
    <w:rsid w:val="00035B8C"/>
    <w:rsid w:val="00036CE0"/>
    <w:rsid w:val="00037A4D"/>
    <w:rsid w:val="00037DF7"/>
    <w:rsid w:val="00042B60"/>
    <w:rsid w:val="0004422B"/>
    <w:rsid w:val="00047176"/>
    <w:rsid w:val="00047EF7"/>
    <w:rsid w:val="00051BD8"/>
    <w:rsid w:val="00053492"/>
    <w:rsid w:val="00054852"/>
    <w:rsid w:val="0005497F"/>
    <w:rsid w:val="00060E7F"/>
    <w:rsid w:val="000638BF"/>
    <w:rsid w:val="00064BB5"/>
    <w:rsid w:val="00066E9D"/>
    <w:rsid w:val="00070A73"/>
    <w:rsid w:val="00071AC7"/>
    <w:rsid w:val="00077A5F"/>
    <w:rsid w:val="00082672"/>
    <w:rsid w:val="00092CE9"/>
    <w:rsid w:val="00094029"/>
    <w:rsid w:val="000A22B7"/>
    <w:rsid w:val="000A3CAE"/>
    <w:rsid w:val="000B1A35"/>
    <w:rsid w:val="000B71B7"/>
    <w:rsid w:val="000C13EA"/>
    <w:rsid w:val="000C3D6C"/>
    <w:rsid w:val="000D02E4"/>
    <w:rsid w:val="000D1BCD"/>
    <w:rsid w:val="000D4E8C"/>
    <w:rsid w:val="000E2C50"/>
    <w:rsid w:val="000E3EA5"/>
    <w:rsid w:val="000E50AC"/>
    <w:rsid w:val="000E717F"/>
    <w:rsid w:val="00101AD3"/>
    <w:rsid w:val="0010309D"/>
    <w:rsid w:val="0010495A"/>
    <w:rsid w:val="00110025"/>
    <w:rsid w:val="00115584"/>
    <w:rsid w:val="001200BA"/>
    <w:rsid w:val="00120A26"/>
    <w:rsid w:val="001311D8"/>
    <w:rsid w:val="00132D7B"/>
    <w:rsid w:val="00137710"/>
    <w:rsid w:val="00144D8D"/>
    <w:rsid w:val="0014579C"/>
    <w:rsid w:val="001469D8"/>
    <w:rsid w:val="0014705D"/>
    <w:rsid w:val="00162029"/>
    <w:rsid w:val="00163EDD"/>
    <w:rsid w:val="001642C3"/>
    <w:rsid w:val="00170897"/>
    <w:rsid w:val="00171EEE"/>
    <w:rsid w:val="00173EA4"/>
    <w:rsid w:val="00174FF1"/>
    <w:rsid w:val="00176460"/>
    <w:rsid w:val="001803E8"/>
    <w:rsid w:val="001807E5"/>
    <w:rsid w:val="00180BB8"/>
    <w:rsid w:val="001838F4"/>
    <w:rsid w:val="00192C6C"/>
    <w:rsid w:val="00194C05"/>
    <w:rsid w:val="001961F1"/>
    <w:rsid w:val="00196979"/>
    <w:rsid w:val="001973FD"/>
    <w:rsid w:val="001A15CB"/>
    <w:rsid w:val="001A59EA"/>
    <w:rsid w:val="001A5B65"/>
    <w:rsid w:val="001B584B"/>
    <w:rsid w:val="001B5E2E"/>
    <w:rsid w:val="001C2B11"/>
    <w:rsid w:val="001E1A30"/>
    <w:rsid w:val="001F0A62"/>
    <w:rsid w:val="001F17CF"/>
    <w:rsid w:val="001F2822"/>
    <w:rsid w:val="001F2BFE"/>
    <w:rsid w:val="001F2DE7"/>
    <w:rsid w:val="001F582B"/>
    <w:rsid w:val="0020228A"/>
    <w:rsid w:val="00202ED5"/>
    <w:rsid w:val="00204A5F"/>
    <w:rsid w:val="00206BDA"/>
    <w:rsid w:val="002103E8"/>
    <w:rsid w:val="002220B4"/>
    <w:rsid w:val="00224455"/>
    <w:rsid w:val="00235DA8"/>
    <w:rsid w:val="002372E2"/>
    <w:rsid w:val="00237334"/>
    <w:rsid w:val="0024257F"/>
    <w:rsid w:val="0024718E"/>
    <w:rsid w:val="002501B5"/>
    <w:rsid w:val="00251A09"/>
    <w:rsid w:val="00254EC0"/>
    <w:rsid w:val="00255BE3"/>
    <w:rsid w:val="002620BF"/>
    <w:rsid w:val="0027285B"/>
    <w:rsid w:val="002745E7"/>
    <w:rsid w:val="0027555D"/>
    <w:rsid w:val="00275CE7"/>
    <w:rsid w:val="00281E33"/>
    <w:rsid w:val="00283347"/>
    <w:rsid w:val="00284F8D"/>
    <w:rsid w:val="002942DF"/>
    <w:rsid w:val="002950FA"/>
    <w:rsid w:val="002A0593"/>
    <w:rsid w:val="002A13F7"/>
    <w:rsid w:val="002A5A89"/>
    <w:rsid w:val="002C1873"/>
    <w:rsid w:val="002C4489"/>
    <w:rsid w:val="002C61EA"/>
    <w:rsid w:val="002D0E14"/>
    <w:rsid w:val="002D19EB"/>
    <w:rsid w:val="002D4A75"/>
    <w:rsid w:val="002D5422"/>
    <w:rsid w:val="002D6389"/>
    <w:rsid w:val="002D6C33"/>
    <w:rsid w:val="002E3D32"/>
    <w:rsid w:val="002F71F1"/>
    <w:rsid w:val="00300FB9"/>
    <w:rsid w:val="00316295"/>
    <w:rsid w:val="0032322C"/>
    <w:rsid w:val="00327F48"/>
    <w:rsid w:val="0033441D"/>
    <w:rsid w:val="00353092"/>
    <w:rsid w:val="0035361B"/>
    <w:rsid w:val="00353A2F"/>
    <w:rsid w:val="00353EE0"/>
    <w:rsid w:val="00357593"/>
    <w:rsid w:val="003609D2"/>
    <w:rsid w:val="0037050D"/>
    <w:rsid w:val="00371867"/>
    <w:rsid w:val="00376D69"/>
    <w:rsid w:val="0037733E"/>
    <w:rsid w:val="0037786A"/>
    <w:rsid w:val="003804EF"/>
    <w:rsid w:val="00382D8F"/>
    <w:rsid w:val="00382E7F"/>
    <w:rsid w:val="00391FF1"/>
    <w:rsid w:val="003A0A03"/>
    <w:rsid w:val="003A0EDA"/>
    <w:rsid w:val="003A2190"/>
    <w:rsid w:val="003A2369"/>
    <w:rsid w:val="003B2038"/>
    <w:rsid w:val="003C39F2"/>
    <w:rsid w:val="003D09ED"/>
    <w:rsid w:val="003D1FDE"/>
    <w:rsid w:val="003D2C5F"/>
    <w:rsid w:val="003D39C1"/>
    <w:rsid w:val="003D607B"/>
    <w:rsid w:val="003D6FC6"/>
    <w:rsid w:val="003D756A"/>
    <w:rsid w:val="003E3573"/>
    <w:rsid w:val="003E785B"/>
    <w:rsid w:val="003F0DCF"/>
    <w:rsid w:val="003F2A8F"/>
    <w:rsid w:val="00402321"/>
    <w:rsid w:val="004031B9"/>
    <w:rsid w:val="00410CCD"/>
    <w:rsid w:val="00416994"/>
    <w:rsid w:val="004257E0"/>
    <w:rsid w:val="00427689"/>
    <w:rsid w:val="004310A5"/>
    <w:rsid w:val="0043338E"/>
    <w:rsid w:val="004408EB"/>
    <w:rsid w:val="004438FB"/>
    <w:rsid w:val="00444543"/>
    <w:rsid w:val="00451644"/>
    <w:rsid w:val="00460401"/>
    <w:rsid w:val="0046770A"/>
    <w:rsid w:val="00467AD3"/>
    <w:rsid w:val="004713E0"/>
    <w:rsid w:val="00473F6F"/>
    <w:rsid w:val="004744D3"/>
    <w:rsid w:val="004938D1"/>
    <w:rsid w:val="004A023A"/>
    <w:rsid w:val="004A07D4"/>
    <w:rsid w:val="004A0C36"/>
    <w:rsid w:val="004A23D6"/>
    <w:rsid w:val="004A2D3E"/>
    <w:rsid w:val="004B0ADA"/>
    <w:rsid w:val="004B2387"/>
    <w:rsid w:val="004B2640"/>
    <w:rsid w:val="004B2B92"/>
    <w:rsid w:val="004B2FD0"/>
    <w:rsid w:val="004B378E"/>
    <w:rsid w:val="004D4BB8"/>
    <w:rsid w:val="004E05D6"/>
    <w:rsid w:val="004E392E"/>
    <w:rsid w:val="004E6319"/>
    <w:rsid w:val="004E7077"/>
    <w:rsid w:val="004E7D37"/>
    <w:rsid w:val="004F00B9"/>
    <w:rsid w:val="004F0B1B"/>
    <w:rsid w:val="004F27E2"/>
    <w:rsid w:val="004F4A0E"/>
    <w:rsid w:val="004F598A"/>
    <w:rsid w:val="005048F1"/>
    <w:rsid w:val="005051A3"/>
    <w:rsid w:val="00505546"/>
    <w:rsid w:val="005069E1"/>
    <w:rsid w:val="00506F55"/>
    <w:rsid w:val="00512B3E"/>
    <w:rsid w:val="005220C9"/>
    <w:rsid w:val="0052342F"/>
    <w:rsid w:val="005260CF"/>
    <w:rsid w:val="005318A8"/>
    <w:rsid w:val="00533899"/>
    <w:rsid w:val="00534EF4"/>
    <w:rsid w:val="0053527F"/>
    <w:rsid w:val="00553665"/>
    <w:rsid w:val="00563B5D"/>
    <w:rsid w:val="0057298C"/>
    <w:rsid w:val="00573F2F"/>
    <w:rsid w:val="00576E8D"/>
    <w:rsid w:val="005830FD"/>
    <w:rsid w:val="00585FC7"/>
    <w:rsid w:val="00594CC3"/>
    <w:rsid w:val="005A15F4"/>
    <w:rsid w:val="005A4381"/>
    <w:rsid w:val="005A6411"/>
    <w:rsid w:val="005B12E8"/>
    <w:rsid w:val="005B5A94"/>
    <w:rsid w:val="005C6198"/>
    <w:rsid w:val="005D11D5"/>
    <w:rsid w:val="005D1669"/>
    <w:rsid w:val="005D2B16"/>
    <w:rsid w:val="005D561B"/>
    <w:rsid w:val="005D68CE"/>
    <w:rsid w:val="005E3475"/>
    <w:rsid w:val="005E3A24"/>
    <w:rsid w:val="005E6367"/>
    <w:rsid w:val="005F5437"/>
    <w:rsid w:val="00602422"/>
    <w:rsid w:val="0060397B"/>
    <w:rsid w:val="00614590"/>
    <w:rsid w:val="006163BC"/>
    <w:rsid w:val="006173DD"/>
    <w:rsid w:val="0062293A"/>
    <w:rsid w:val="00624D3B"/>
    <w:rsid w:val="00625874"/>
    <w:rsid w:val="00630E3D"/>
    <w:rsid w:val="00630E5E"/>
    <w:rsid w:val="006620D1"/>
    <w:rsid w:val="00667B39"/>
    <w:rsid w:val="00675481"/>
    <w:rsid w:val="006764DC"/>
    <w:rsid w:val="0068044A"/>
    <w:rsid w:val="0068263B"/>
    <w:rsid w:val="006912B8"/>
    <w:rsid w:val="006939C9"/>
    <w:rsid w:val="006A1E19"/>
    <w:rsid w:val="006B07EE"/>
    <w:rsid w:val="006B4194"/>
    <w:rsid w:val="006B74D9"/>
    <w:rsid w:val="006C3D58"/>
    <w:rsid w:val="006C4CD8"/>
    <w:rsid w:val="006C5081"/>
    <w:rsid w:val="006C587B"/>
    <w:rsid w:val="006C6102"/>
    <w:rsid w:val="006C6E6C"/>
    <w:rsid w:val="006C6E8F"/>
    <w:rsid w:val="006C78AF"/>
    <w:rsid w:val="006D039B"/>
    <w:rsid w:val="006D2828"/>
    <w:rsid w:val="006D34EE"/>
    <w:rsid w:val="006E0257"/>
    <w:rsid w:val="006E3EFA"/>
    <w:rsid w:val="006E5911"/>
    <w:rsid w:val="006E7466"/>
    <w:rsid w:val="006F5A21"/>
    <w:rsid w:val="00700F5D"/>
    <w:rsid w:val="007107FE"/>
    <w:rsid w:val="00711A36"/>
    <w:rsid w:val="00724897"/>
    <w:rsid w:val="00727D67"/>
    <w:rsid w:val="00727D86"/>
    <w:rsid w:val="007325BC"/>
    <w:rsid w:val="00737333"/>
    <w:rsid w:val="0073778C"/>
    <w:rsid w:val="0074142A"/>
    <w:rsid w:val="00743B15"/>
    <w:rsid w:val="007514AA"/>
    <w:rsid w:val="0075226B"/>
    <w:rsid w:val="0075390D"/>
    <w:rsid w:val="007568A3"/>
    <w:rsid w:val="007569D2"/>
    <w:rsid w:val="00757CA1"/>
    <w:rsid w:val="007620D8"/>
    <w:rsid w:val="00770A88"/>
    <w:rsid w:val="00775CE3"/>
    <w:rsid w:val="007815AE"/>
    <w:rsid w:val="0079071E"/>
    <w:rsid w:val="00796E21"/>
    <w:rsid w:val="007A2D43"/>
    <w:rsid w:val="007A35BD"/>
    <w:rsid w:val="007A4407"/>
    <w:rsid w:val="007B283F"/>
    <w:rsid w:val="007B5623"/>
    <w:rsid w:val="007B7141"/>
    <w:rsid w:val="007C12B4"/>
    <w:rsid w:val="007C4A87"/>
    <w:rsid w:val="007C72B9"/>
    <w:rsid w:val="007D1519"/>
    <w:rsid w:val="007D2B12"/>
    <w:rsid w:val="007D3A11"/>
    <w:rsid w:val="007D47D9"/>
    <w:rsid w:val="007E08BC"/>
    <w:rsid w:val="007E2218"/>
    <w:rsid w:val="007E7101"/>
    <w:rsid w:val="007F5FC1"/>
    <w:rsid w:val="008002FE"/>
    <w:rsid w:val="008005C9"/>
    <w:rsid w:val="00804579"/>
    <w:rsid w:val="00813C12"/>
    <w:rsid w:val="0081728D"/>
    <w:rsid w:val="008212AE"/>
    <w:rsid w:val="00821E35"/>
    <w:rsid w:val="00825B20"/>
    <w:rsid w:val="00827ADE"/>
    <w:rsid w:val="008306B3"/>
    <w:rsid w:val="00830FAF"/>
    <w:rsid w:val="0083154D"/>
    <w:rsid w:val="00832B38"/>
    <w:rsid w:val="00840473"/>
    <w:rsid w:val="008409DE"/>
    <w:rsid w:val="0085174E"/>
    <w:rsid w:val="0085220F"/>
    <w:rsid w:val="00853839"/>
    <w:rsid w:val="00854D02"/>
    <w:rsid w:val="008551FE"/>
    <w:rsid w:val="00865A65"/>
    <w:rsid w:val="00873750"/>
    <w:rsid w:val="00876279"/>
    <w:rsid w:val="00877FCD"/>
    <w:rsid w:val="00884158"/>
    <w:rsid w:val="00885451"/>
    <w:rsid w:val="00886924"/>
    <w:rsid w:val="00886BCD"/>
    <w:rsid w:val="008919C5"/>
    <w:rsid w:val="0089382C"/>
    <w:rsid w:val="008A5789"/>
    <w:rsid w:val="008A76EA"/>
    <w:rsid w:val="008B2386"/>
    <w:rsid w:val="008D2631"/>
    <w:rsid w:val="008D49AF"/>
    <w:rsid w:val="008D5CC5"/>
    <w:rsid w:val="008D62C5"/>
    <w:rsid w:val="008D7D4E"/>
    <w:rsid w:val="008E0992"/>
    <w:rsid w:val="008E3D3B"/>
    <w:rsid w:val="008E4311"/>
    <w:rsid w:val="008E66C1"/>
    <w:rsid w:val="008E79AC"/>
    <w:rsid w:val="008F422A"/>
    <w:rsid w:val="009010A1"/>
    <w:rsid w:val="00902D94"/>
    <w:rsid w:val="00904F01"/>
    <w:rsid w:val="00905666"/>
    <w:rsid w:val="009076BD"/>
    <w:rsid w:val="00907C51"/>
    <w:rsid w:val="0091778F"/>
    <w:rsid w:val="009178F1"/>
    <w:rsid w:val="00923977"/>
    <w:rsid w:val="00926E97"/>
    <w:rsid w:val="00927A01"/>
    <w:rsid w:val="00933A75"/>
    <w:rsid w:val="00934747"/>
    <w:rsid w:val="00935414"/>
    <w:rsid w:val="00941F18"/>
    <w:rsid w:val="0094795F"/>
    <w:rsid w:val="0095207D"/>
    <w:rsid w:val="00953A41"/>
    <w:rsid w:val="00953FD5"/>
    <w:rsid w:val="00956108"/>
    <w:rsid w:val="00956B21"/>
    <w:rsid w:val="009601DC"/>
    <w:rsid w:val="00960262"/>
    <w:rsid w:val="009611B3"/>
    <w:rsid w:val="009660B3"/>
    <w:rsid w:val="00967395"/>
    <w:rsid w:val="00970739"/>
    <w:rsid w:val="00973050"/>
    <w:rsid w:val="0097344C"/>
    <w:rsid w:val="009748B1"/>
    <w:rsid w:val="009846B5"/>
    <w:rsid w:val="009865DC"/>
    <w:rsid w:val="009877E8"/>
    <w:rsid w:val="00987CFB"/>
    <w:rsid w:val="009A56B6"/>
    <w:rsid w:val="009B2F65"/>
    <w:rsid w:val="009B47CC"/>
    <w:rsid w:val="009C00D1"/>
    <w:rsid w:val="009C1309"/>
    <w:rsid w:val="009C1977"/>
    <w:rsid w:val="009C3D41"/>
    <w:rsid w:val="009D3C8A"/>
    <w:rsid w:val="009D4CD4"/>
    <w:rsid w:val="009E79AA"/>
    <w:rsid w:val="009F3091"/>
    <w:rsid w:val="009F37E4"/>
    <w:rsid w:val="00A02C4D"/>
    <w:rsid w:val="00A02FC1"/>
    <w:rsid w:val="00A03073"/>
    <w:rsid w:val="00A34431"/>
    <w:rsid w:val="00A36E3A"/>
    <w:rsid w:val="00A37A6B"/>
    <w:rsid w:val="00A416C8"/>
    <w:rsid w:val="00A45372"/>
    <w:rsid w:val="00A46090"/>
    <w:rsid w:val="00A51068"/>
    <w:rsid w:val="00A52042"/>
    <w:rsid w:val="00A5379D"/>
    <w:rsid w:val="00A53C87"/>
    <w:rsid w:val="00A56BB9"/>
    <w:rsid w:val="00A62A43"/>
    <w:rsid w:val="00A62EA6"/>
    <w:rsid w:val="00A72107"/>
    <w:rsid w:val="00A83BA6"/>
    <w:rsid w:val="00A85E27"/>
    <w:rsid w:val="00A87F9A"/>
    <w:rsid w:val="00A90354"/>
    <w:rsid w:val="00A94694"/>
    <w:rsid w:val="00A94835"/>
    <w:rsid w:val="00AA265C"/>
    <w:rsid w:val="00AB1321"/>
    <w:rsid w:val="00AB2658"/>
    <w:rsid w:val="00AC4358"/>
    <w:rsid w:val="00AC7B39"/>
    <w:rsid w:val="00AD0FA3"/>
    <w:rsid w:val="00AD2F38"/>
    <w:rsid w:val="00AE3043"/>
    <w:rsid w:val="00AE4AB2"/>
    <w:rsid w:val="00AF041F"/>
    <w:rsid w:val="00AF08B4"/>
    <w:rsid w:val="00AF647F"/>
    <w:rsid w:val="00B11D5B"/>
    <w:rsid w:val="00B16769"/>
    <w:rsid w:val="00B17399"/>
    <w:rsid w:val="00B1756A"/>
    <w:rsid w:val="00B31DD1"/>
    <w:rsid w:val="00B4357C"/>
    <w:rsid w:val="00B45B2C"/>
    <w:rsid w:val="00B47300"/>
    <w:rsid w:val="00B52C4E"/>
    <w:rsid w:val="00B53463"/>
    <w:rsid w:val="00B55546"/>
    <w:rsid w:val="00B6698B"/>
    <w:rsid w:val="00B672F1"/>
    <w:rsid w:val="00B70D2C"/>
    <w:rsid w:val="00B77A5D"/>
    <w:rsid w:val="00B80897"/>
    <w:rsid w:val="00B83E32"/>
    <w:rsid w:val="00B8548B"/>
    <w:rsid w:val="00B8557E"/>
    <w:rsid w:val="00B95435"/>
    <w:rsid w:val="00B96E99"/>
    <w:rsid w:val="00BA0D3C"/>
    <w:rsid w:val="00BA6501"/>
    <w:rsid w:val="00BB0D6D"/>
    <w:rsid w:val="00BB1192"/>
    <w:rsid w:val="00BB1D25"/>
    <w:rsid w:val="00BB4DA0"/>
    <w:rsid w:val="00BB7C61"/>
    <w:rsid w:val="00BC1A08"/>
    <w:rsid w:val="00BC39BF"/>
    <w:rsid w:val="00BC4579"/>
    <w:rsid w:val="00BC58BF"/>
    <w:rsid w:val="00BC5D02"/>
    <w:rsid w:val="00BD0F38"/>
    <w:rsid w:val="00BD4277"/>
    <w:rsid w:val="00BD5BDB"/>
    <w:rsid w:val="00BD7329"/>
    <w:rsid w:val="00BE4F04"/>
    <w:rsid w:val="00BE5ADA"/>
    <w:rsid w:val="00BF0318"/>
    <w:rsid w:val="00BF153A"/>
    <w:rsid w:val="00BF335D"/>
    <w:rsid w:val="00BF5C1A"/>
    <w:rsid w:val="00BF64E3"/>
    <w:rsid w:val="00BF7D1E"/>
    <w:rsid w:val="00C0603D"/>
    <w:rsid w:val="00C06FE0"/>
    <w:rsid w:val="00C1004C"/>
    <w:rsid w:val="00C215A4"/>
    <w:rsid w:val="00C3204D"/>
    <w:rsid w:val="00C3270B"/>
    <w:rsid w:val="00C3276A"/>
    <w:rsid w:val="00C33D54"/>
    <w:rsid w:val="00C35A0B"/>
    <w:rsid w:val="00C42C41"/>
    <w:rsid w:val="00C43924"/>
    <w:rsid w:val="00C45321"/>
    <w:rsid w:val="00C4789C"/>
    <w:rsid w:val="00C50BB6"/>
    <w:rsid w:val="00C54E1F"/>
    <w:rsid w:val="00C63FB1"/>
    <w:rsid w:val="00C65723"/>
    <w:rsid w:val="00C66BE7"/>
    <w:rsid w:val="00C66FEC"/>
    <w:rsid w:val="00C70DB8"/>
    <w:rsid w:val="00C80B06"/>
    <w:rsid w:val="00C85E12"/>
    <w:rsid w:val="00CA0710"/>
    <w:rsid w:val="00CA0B74"/>
    <w:rsid w:val="00CA12D9"/>
    <w:rsid w:val="00CA3232"/>
    <w:rsid w:val="00CA3408"/>
    <w:rsid w:val="00CB135C"/>
    <w:rsid w:val="00CB2286"/>
    <w:rsid w:val="00CB37CC"/>
    <w:rsid w:val="00CB4750"/>
    <w:rsid w:val="00CB5967"/>
    <w:rsid w:val="00CB7FB3"/>
    <w:rsid w:val="00CC7EEB"/>
    <w:rsid w:val="00CD1672"/>
    <w:rsid w:val="00CD5BF9"/>
    <w:rsid w:val="00CD7EBB"/>
    <w:rsid w:val="00CE3CAE"/>
    <w:rsid w:val="00CF3B78"/>
    <w:rsid w:val="00CF4FC4"/>
    <w:rsid w:val="00CF515F"/>
    <w:rsid w:val="00D0055B"/>
    <w:rsid w:val="00D04DF5"/>
    <w:rsid w:val="00D0761E"/>
    <w:rsid w:val="00D14355"/>
    <w:rsid w:val="00D152C5"/>
    <w:rsid w:val="00D255FE"/>
    <w:rsid w:val="00D31052"/>
    <w:rsid w:val="00D334AD"/>
    <w:rsid w:val="00D4376A"/>
    <w:rsid w:val="00D443DA"/>
    <w:rsid w:val="00D44FF1"/>
    <w:rsid w:val="00D54119"/>
    <w:rsid w:val="00D555A8"/>
    <w:rsid w:val="00D56542"/>
    <w:rsid w:val="00D60485"/>
    <w:rsid w:val="00D6118E"/>
    <w:rsid w:val="00D643F0"/>
    <w:rsid w:val="00D67016"/>
    <w:rsid w:val="00D71101"/>
    <w:rsid w:val="00D7136F"/>
    <w:rsid w:val="00D74276"/>
    <w:rsid w:val="00D74BEC"/>
    <w:rsid w:val="00D763B6"/>
    <w:rsid w:val="00D76A7C"/>
    <w:rsid w:val="00D80691"/>
    <w:rsid w:val="00D825EA"/>
    <w:rsid w:val="00DA2035"/>
    <w:rsid w:val="00DA298E"/>
    <w:rsid w:val="00DA6493"/>
    <w:rsid w:val="00DA6E04"/>
    <w:rsid w:val="00DA7CC5"/>
    <w:rsid w:val="00DB5198"/>
    <w:rsid w:val="00DB6F09"/>
    <w:rsid w:val="00DB6FBD"/>
    <w:rsid w:val="00DC01B9"/>
    <w:rsid w:val="00DC50C3"/>
    <w:rsid w:val="00DC5718"/>
    <w:rsid w:val="00DD16CE"/>
    <w:rsid w:val="00DE5C73"/>
    <w:rsid w:val="00DE6BB4"/>
    <w:rsid w:val="00DF125C"/>
    <w:rsid w:val="00DF49C5"/>
    <w:rsid w:val="00E00655"/>
    <w:rsid w:val="00E055CA"/>
    <w:rsid w:val="00E0701C"/>
    <w:rsid w:val="00E23B1F"/>
    <w:rsid w:val="00E25696"/>
    <w:rsid w:val="00E306FF"/>
    <w:rsid w:val="00E34D08"/>
    <w:rsid w:val="00E52F3A"/>
    <w:rsid w:val="00E6410E"/>
    <w:rsid w:val="00E65F8E"/>
    <w:rsid w:val="00E72F9D"/>
    <w:rsid w:val="00E76C2E"/>
    <w:rsid w:val="00E82067"/>
    <w:rsid w:val="00E82F2B"/>
    <w:rsid w:val="00E854D6"/>
    <w:rsid w:val="00EA0CA1"/>
    <w:rsid w:val="00EA2D44"/>
    <w:rsid w:val="00EC126B"/>
    <w:rsid w:val="00EC1BF0"/>
    <w:rsid w:val="00EC2DEA"/>
    <w:rsid w:val="00EC38CE"/>
    <w:rsid w:val="00ED2C4A"/>
    <w:rsid w:val="00ED5A4C"/>
    <w:rsid w:val="00ED7645"/>
    <w:rsid w:val="00EE2B10"/>
    <w:rsid w:val="00EE30B8"/>
    <w:rsid w:val="00EF5F6D"/>
    <w:rsid w:val="00F062AE"/>
    <w:rsid w:val="00F108EB"/>
    <w:rsid w:val="00F15B44"/>
    <w:rsid w:val="00F16721"/>
    <w:rsid w:val="00F16F6E"/>
    <w:rsid w:val="00F215A3"/>
    <w:rsid w:val="00F23DBC"/>
    <w:rsid w:val="00F24B44"/>
    <w:rsid w:val="00F26BD1"/>
    <w:rsid w:val="00F320AF"/>
    <w:rsid w:val="00F32C82"/>
    <w:rsid w:val="00F33CB2"/>
    <w:rsid w:val="00F40D1E"/>
    <w:rsid w:val="00F443FA"/>
    <w:rsid w:val="00F50CC3"/>
    <w:rsid w:val="00F51BFB"/>
    <w:rsid w:val="00F549D5"/>
    <w:rsid w:val="00F569EB"/>
    <w:rsid w:val="00F71168"/>
    <w:rsid w:val="00F71B89"/>
    <w:rsid w:val="00F72FF4"/>
    <w:rsid w:val="00F77293"/>
    <w:rsid w:val="00F8335E"/>
    <w:rsid w:val="00F93888"/>
    <w:rsid w:val="00F96EFA"/>
    <w:rsid w:val="00F972CC"/>
    <w:rsid w:val="00F97688"/>
    <w:rsid w:val="00FA04B3"/>
    <w:rsid w:val="00FA10A5"/>
    <w:rsid w:val="00FA2186"/>
    <w:rsid w:val="00FA3D1D"/>
    <w:rsid w:val="00FB0ACB"/>
    <w:rsid w:val="00FB5DC6"/>
    <w:rsid w:val="00FB6BE9"/>
    <w:rsid w:val="00FC39D0"/>
    <w:rsid w:val="00FD2313"/>
    <w:rsid w:val="00FD321D"/>
    <w:rsid w:val="00FD7EEC"/>
    <w:rsid w:val="00FE2D52"/>
    <w:rsid w:val="00FE3ECB"/>
    <w:rsid w:val="00FE409D"/>
    <w:rsid w:val="00FE6C54"/>
    <w:rsid w:val="00FE6C60"/>
    <w:rsid w:val="00FE7BE7"/>
    <w:rsid w:val="00FE7D67"/>
    <w:rsid w:val="00FF3A17"/>
    <w:rsid w:val="00FF762E"/>
    <w:rsid w:val="019A7F0B"/>
    <w:rsid w:val="027007F3"/>
    <w:rsid w:val="02730BE3"/>
    <w:rsid w:val="02BD2550"/>
    <w:rsid w:val="02C6508F"/>
    <w:rsid w:val="02C728F6"/>
    <w:rsid w:val="030113F5"/>
    <w:rsid w:val="0318285A"/>
    <w:rsid w:val="03B73C55"/>
    <w:rsid w:val="03D81701"/>
    <w:rsid w:val="03F8160E"/>
    <w:rsid w:val="04452B08"/>
    <w:rsid w:val="04A06BF0"/>
    <w:rsid w:val="04A70FD3"/>
    <w:rsid w:val="04E95920"/>
    <w:rsid w:val="051A2E33"/>
    <w:rsid w:val="051C3215"/>
    <w:rsid w:val="05200461"/>
    <w:rsid w:val="052B7CB2"/>
    <w:rsid w:val="05334557"/>
    <w:rsid w:val="053F5429"/>
    <w:rsid w:val="05943EFC"/>
    <w:rsid w:val="061A2449"/>
    <w:rsid w:val="063D2B4D"/>
    <w:rsid w:val="06641C6D"/>
    <w:rsid w:val="067508F8"/>
    <w:rsid w:val="06F42B68"/>
    <w:rsid w:val="070B6B66"/>
    <w:rsid w:val="07850651"/>
    <w:rsid w:val="07BD6D34"/>
    <w:rsid w:val="07EA49A8"/>
    <w:rsid w:val="08032A5C"/>
    <w:rsid w:val="083B23D6"/>
    <w:rsid w:val="085F0EEA"/>
    <w:rsid w:val="0884564C"/>
    <w:rsid w:val="08923706"/>
    <w:rsid w:val="08DB1887"/>
    <w:rsid w:val="090B23EF"/>
    <w:rsid w:val="09121429"/>
    <w:rsid w:val="09666E67"/>
    <w:rsid w:val="09DF1D71"/>
    <w:rsid w:val="0A1A2704"/>
    <w:rsid w:val="0A2D1021"/>
    <w:rsid w:val="0A86681F"/>
    <w:rsid w:val="0A990829"/>
    <w:rsid w:val="0B0F3C25"/>
    <w:rsid w:val="0B216959"/>
    <w:rsid w:val="0B245255"/>
    <w:rsid w:val="0B6977BE"/>
    <w:rsid w:val="0B926E53"/>
    <w:rsid w:val="0BC612CA"/>
    <w:rsid w:val="0BEE077E"/>
    <w:rsid w:val="0C6F00E5"/>
    <w:rsid w:val="0CA13776"/>
    <w:rsid w:val="0CAA75A8"/>
    <w:rsid w:val="0CB25CDE"/>
    <w:rsid w:val="0CD05AA6"/>
    <w:rsid w:val="0CFE21F2"/>
    <w:rsid w:val="0D033682"/>
    <w:rsid w:val="0D356F4B"/>
    <w:rsid w:val="0D5C2762"/>
    <w:rsid w:val="0D5E4FFE"/>
    <w:rsid w:val="0D600FCF"/>
    <w:rsid w:val="0D791CFB"/>
    <w:rsid w:val="0DBC53BA"/>
    <w:rsid w:val="0DCD3CC1"/>
    <w:rsid w:val="0DEF454B"/>
    <w:rsid w:val="0DF85745"/>
    <w:rsid w:val="0E324052"/>
    <w:rsid w:val="0E3512E5"/>
    <w:rsid w:val="0E3E70D4"/>
    <w:rsid w:val="0E6B1369"/>
    <w:rsid w:val="0E757887"/>
    <w:rsid w:val="0E857AB1"/>
    <w:rsid w:val="0E8D1A19"/>
    <w:rsid w:val="0E9234E0"/>
    <w:rsid w:val="0EA72EE5"/>
    <w:rsid w:val="0EE26BBA"/>
    <w:rsid w:val="0EF41453"/>
    <w:rsid w:val="0F3D74C3"/>
    <w:rsid w:val="0FA514BA"/>
    <w:rsid w:val="0FB75ADD"/>
    <w:rsid w:val="0FD96623"/>
    <w:rsid w:val="0FE07621"/>
    <w:rsid w:val="1036507E"/>
    <w:rsid w:val="104D3A38"/>
    <w:rsid w:val="10553E29"/>
    <w:rsid w:val="1066544B"/>
    <w:rsid w:val="109E0DDB"/>
    <w:rsid w:val="10C6568F"/>
    <w:rsid w:val="10DA2114"/>
    <w:rsid w:val="10F8145A"/>
    <w:rsid w:val="11144B04"/>
    <w:rsid w:val="11276A50"/>
    <w:rsid w:val="114C42DF"/>
    <w:rsid w:val="1154294C"/>
    <w:rsid w:val="11550ABC"/>
    <w:rsid w:val="11683DEC"/>
    <w:rsid w:val="11694426"/>
    <w:rsid w:val="11755EC9"/>
    <w:rsid w:val="119412AA"/>
    <w:rsid w:val="11DA5C9E"/>
    <w:rsid w:val="11E61258"/>
    <w:rsid w:val="12486EC1"/>
    <w:rsid w:val="124A2743"/>
    <w:rsid w:val="1256088A"/>
    <w:rsid w:val="12A70B6F"/>
    <w:rsid w:val="12EA5A64"/>
    <w:rsid w:val="13324B0D"/>
    <w:rsid w:val="133D2352"/>
    <w:rsid w:val="137210FB"/>
    <w:rsid w:val="139A4DEB"/>
    <w:rsid w:val="139D6C77"/>
    <w:rsid w:val="13A147D1"/>
    <w:rsid w:val="1402620C"/>
    <w:rsid w:val="141D768E"/>
    <w:rsid w:val="1452382D"/>
    <w:rsid w:val="14981F8C"/>
    <w:rsid w:val="14BA2ABB"/>
    <w:rsid w:val="14D52A43"/>
    <w:rsid w:val="14EA3162"/>
    <w:rsid w:val="14EE3DF9"/>
    <w:rsid w:val="15347683"/>
    <w:rsid w:val="153C4D6C"/>
    <w:rsid w:val="15520505"/>
    <w:rsid w:val="156A0E75"/>
    <w:rsid w:val="156B2323"/>
    <w:rsid w:val="157F4A2C"/>
    <w:rsid w:val="15B463D1"/>
    <w:rsid w:val="15DF7350"/>
    <w:rsid w:val="161E0F3C"/>
    <w:rsid w:val="16372730"/>
    <w:rsid w:val="166D4C9E"/>
    <w:rsid w:val="1672048A"/>
    <w:rsid w:val="16E017E8"/>
    <w:rsid w:val="171D25CE"/>
    <w:rsid w:val="172412C5"/>
    <w:rsid w:val="17317127"/>
    <w:rsid w:val="173F3534"/>
    <w:rsid w:val="17423F99"/>
    <w:rsid w:val="175C0923"/>
    <w:rsid w:val="1783099B"/>
    <w:rsid w:val="17D453EA"/>
    <w:rsid w:val="17E50678"/>
    <w:rsid w:val="180A4EC7"/>
    <w:rsid w:val="182131B0"/>
    <w:rsid w:val="18323CD2"/>
    <w:rsid w:val="188F52D8"/>
    <w:rsid w:val="18FD19C8"/>
    <w:rsid w:val="191E4CF6"/>
    <w:rsid w:val="192B4E46"/>
    <w:rsid w:val="192C1EF2"/>
    <w:rsid w:val="1932639B"/>
    <w:rsid w:val="19456898"/>
    <w:rsid w:val="19A94011"/>
    <w:rsid w:val="19DF5378"/>
    <w:rsid w:val="1A1F1F70"/>
    <w:rsid w:val="1A2F1532"/>
    <w:rsid w:val="1A3D3083"/>
    <w:rsid w:val="1A3F6A06"/>
    <w:rsid w:val="1A7D6DE0"/>
    <w:rsid w:val="1A825539"/>
    <w:rsid w:val="1A9912AA"/>
    <w:rsid w:val="1AAE2DE5"/>
    <w:rsid w:val="1AC2525F"/>
    <w:rsid w:val="1AC560CD"/>
    <w:rsid w:val="1AE24A3B"/>
    <w:rsid w:val="1B214C6B"/>
    <w:rsid w:val="1B316D83"/>
    <w:rsid w:val="1B3553A0"/>
    <w:rsid w:val="1B356DB6"/>
    <w:rsid w:val="1B8C2F7C"/>
    <w:rsid w:val="1B943F24"/>
    <w:rsid w:val="1BC122E2"/>
    <w:rsid w:val="1BC57FBA"/>
    <w:rsid w:val="1C085966"/>
    <w:rsid w:val="1C135E39"/>
    <w:rsid w:val="1C290DB4"/>
    <w:rsid w:val="1C47643B"/>
    <w:rsid w:val="1C546ABE"/>
    <w:rsid w:val="1CAE1218"/>
    <w:rsid w:val="1CB304A3"/>
    <w:rsid w:val="1CCD7E94"/>
    <w:rsid w:val="1D0034DB"/>
    <w:rsid w:val="1D103198"/>
    <w:rsid w:val="1D2321EC"/>
    <w:rsid w:val="1D5B621C"/>
    <w:rsid w:val="1D7031FC"/>
    <w:rsid w:val="1DA90758"/>
    <w:rsid w:val="1DC934E2"/>
    <w:rsid w:val="1DD12BE8"/>
    <w:rsid w:val="1DDC5BD5"/>
    <w:rsid w:val="1DE91751"/>
    <w:rsid w:val="1DF84E52"/>
    <w:rsid w:val="1E0A1364"/>
    <w:rsid w:val="1E213337"/>
    <w:rsid w:val="1E303A22"/>
    <w:rsid w:val="1E4D7D1B"/>
    <w:rsid w:val="1E51771F"/>
    <w:rsid w:val="1E5C39AD"/>
    <w:rsid w:val="1E7352C5"/>
    <w:rsid w:val="1ED53C15"/>
    <w:rsid w:val="1F2F21D1"/>
    <w:rsid w:val="1F3500CC"/>
    <w:rsid w:val="1F365B58"/>
    <w:rsid w:val="1FE25607"/>
    <w:rsid w:val="1FEC380D"/>
    <w:rsid w:val="1FF42923"/>
    <w:rsid w:val="200945ED"/>
    <w:rsid w:val="20121518"/>
    <w:rsid w:val="20373B5B"/>
    <w:rsid w:val="20505AC4"/>
    <w:rsid w:val="20862701"/>
    <w:rsid w:val="20EE356F"/>
    <w:rsid w:val="212E0344"/>
    <w:rsid w:val="213728EF"/>
    <w:rsid w:val="215E6D8B"/>
    <w:rsid w:val="217A6760"/>
    <w:rsid w:val="21933ED0"/>
    <w:rsid w:val="21A06A9E"/>
    <w:rsid w:val="21C06A96"/>
    <w:rsid w:val="21FD4A41"/>
    <w:rsid w:val="22513605"/>
    <w:rsid w:val="225622DF"/>
    <w:rsid w:val="225C2CF9"/>
    <w:rsid w:val="22C439C0"/>
    <w:rsid w:val="22D74270"/>
    <w:rsid w:val="230307BE"/>
    <w:rsid w:val="23134566"/>
    <w:rsid w:val="23571023"/>
    <w:rsid w:val="236A5D28"/>
    <w:rsid w:val="236C13D9"/>
    <w:rsid w:val="237E1DAD"/>
    <w:rsid w:val="23AA0D33"/>
    <w:rsid w:val="23BF51D1"/>
    <w:rsid w:val="23F66FF6"/>
    <w:rsid w:val="24472ACE"/>
    <w:rsid w:val="24512A14"/>
    <w:rsid w:val="248D4283"/>
    <w:rsid w:val="24A96E2C"/>
    <w:rsid w:val="24E355AC"/>
    <w:rsid w:val="250A56A8"/>
    <w:rsid w:val="251D48C1"/>
    <w:rsid w:val="25344AF2"/>
    <w:rsid w:val="25A93834"/>
    <w:rsid w:val="25BE3EA6"/>
    <w:rsid w:val="25CF26C5"/>
    <w:rsid w:val="260A0D42"/>
    <w:rsid w:val="26145057"/>
    <w:rsid w:val="262D1324"/>
    <w:rsid w:val="26331896"/>
    <w:rsid w:val="26373D44"/>
    <w:rsid w:val="26483396"/>
    <w:rsid w:val="267047E0"/>
    <w:rsid w:val="267B0D5C"/>
    <w:rsid w:val="26F45667"/>
    <w:rsid w:val="274D3FF5"/>
    <w:rsid w:val="27783593"/>
    <w:rsid w:val="27865728"/>
    <w:rsid w:val="279735E4"/>
    <w:rsid w:val="27C60B5C"/>
    <w:rsid w:val="282553C1"/>
    <w:rsid w:val="28E5500B"/>
    <w:rsid w:val="294735A4"/>
    <w:rsid w:val="29A42C9B"/>
    <w:rsid w:val="29D73847"/>
    <w:rsid w:val="29E125D8"/>
    <w:rsid w:val="2A0F1568"/>
    <w:rsid w:val="2A167B7D"/>
    <w:rsid w:val="2A2B593B"/>
    <w:rsid w:val="2A312225"/>
    <w:rsid w:val="2A8820F8"/>
    <w:rsid w:val="2AB11139"/>
    <w:rsid w:val="2B022A53"/>
    <w:rsid w:val="2B0701C0"/>
    <w:rsid w:val="2B1A2428"/>
    <w:rsid w:val="2B1A5AD2"/>
    <w:rsid w:val="2B7A34E5"/>
    <w:rsid w:val="2B8E6D38"/>
    <w:rsid w:val="2B9A04A5"/>
    <w:rsid w:val="2BB721D6"/>
    <w:rsid w:val="2BC56137"/>
    <w:rsid w:val="2BF01901"/>
    <w:rsid w:val="2C074DC9"/>
    <w:rsid w:val="2C4243D7"/>
    <w:rsid w:val="2C71470E"/>
    <w:rsid w:val="2CB5169A"/>
    <w:rsid w:val="2CC57E91"/>
    <w:rsid w:val="2CF663C7"/>
    <w:rsid w:val="2D197BD1"/>
    <w:rsid w:val="2D483CEA"/>
    <w:rsid w:val="2D63690A"/>
    <w:rsid w:val="2DB86270"/>
    <w:rsid w:val="2E0E3A53"/>
    <w:rsid w:val="2E266CAB"/>
    <w:rsid w:val="2E4E396D"/>
    <w:rsid w:val="2E843077"/>
    <w:rsid w:val="2E88523B"/>
    <w:rsid w:val="2E9118B4"/>
    <w:rsid w:val="2ED24D92"/>
    <w:rsid w:val="2F123238"/>
    <w:rsid w:val="2F1D72A2"/>
    <w:rsid w:val="2F2C0562"/>
    <w:rsid w:val="2F724234"/>
    <w:rsid w:val="2F864494"/>
    <w:rsid w:val="303F5B52"/>
    <w:rsid w:val="30415886"/>
    <w:rsid w:val="30B07C76"/>
    <w:rsid w:val="31021EAA"/>
    <w:rsid w:val="3105531F"/>
    <w:rsid w:val="31565409"/>
    <w:rsid w:val="31607959"/>
    <w:rsid w:val="317A1ED5"/>
    <w:rsid w:val="32387149"/>
    <w:rsid w:val="323D4DDE"/>
    <w:rsid w:val="32466CAB"/>
    <w:rsid w:val="329806D7"/>
    <w:rsid w:val="32B670C6"/>
    <w:rsid w:val="32FF3174"/>
    <w:rsid w:val="33206B41"/>
    <w:rsid w:val="3360382B"/>
    <w:rsid w:val="337B6F25"/>
    <w:rsid w:val="344E0CD4"/>
    <w:rsid w:val="345F30E4"/>
    <w:rsid w:val="348833DA"/>
    <w:rsid w:val="34A528B9"/>
    <w:rsid w:val="35003060"/>
    <w:rsid w:val="35143992"/>
    <w:rsid w:val="351A3BB7"/>
    <w:rsid w:val="353111E8"/>
    <w:rsid w:val="3531463B"/>
    <w:rsid w:val="354F52BF"/>
    <w:rsid w:val="35564ADA"/>
    <w:rsid w:val="355C77D5"/>
    <w:rsid w:val="355D06F3"/>
    <w:rsid w:val="3586396A"/>
    <w:rsid w:val="36D36DF1"/>
    <w:rsid w:val="37034732"/>
    <w:rsid w:val="372B32A4"/>
    <w:rsid w:val="37465C1B"/>
    <w:rsid w:val="3746641C"/>
    <w:rsid w:val="37505E44"/>
    <w:rsid w:val="37C3625C"/>
    <w:rsid w:val="37C562CE"/>
    <w:rsid w:val="37D15204"/>
    <w:rsid w:val="37FC482F"/>
    <w:rsid w:val="38614E77"/>
    <w:rsid w:val="38734AC4"/>
    <w:rsid w:val="387D2129"/>
    <w:rsid w:val="38821C97"/>
    <w:rsid w:val="3888313E"/>
    <w:rsid w:val="38C53A27"/>
    <w:rsid w:val="39194744"/>
    <w:rsid w:val="391F701E"/>
    <w:rsid w:val="392340AF"/>
    <w:rsid w:val="392F2CE1"/>
    <w:rsid w:val="395767D6"/>
    <w:rsid w:val="396E6B72"/>
    <w:rsid w:val="397359A3"/>
    <w:rsid w:val="39D9187B"/>
    <w:rsid w:val="39DC52FC"/>
    <w:rsid w:val="39E624F9"/>
    <w:rsid w:val="3A1866FF"/>
    <w:rsid w:val="3AA40077"/>
    <w:rsid w:val="3AC65DE8"/>
    <w:rsid w:val="3ACA37D1"/>
    <w:rsid w:val="3AD63E15"/>
    <w:rsid w:val="3B1874C8"/>
    <w:rsid w:val="3B2657A5"/>
    <w:rsid w:val="3B3219C7"/>
    <w:rsid w:val="3B4442A1"/>
    <w:rsid w:val="3B522A3F"/>
    <w:rsid w:val="3B9E00AB"/>
    <w:rsid w:val="3BA76F73"/>
    <w:rsid w:val="3C74798C"/>
    <w:rsid w:val="3CA40B9B"/>
    <w:rsid w:val="3CE103A5"/>
    <w:rsid w:val="3CEA5CCD"/>
    <w:rsid w:val="3D023DA9"/>
    <w:rsid w:val="3D304DF3"/>
    <w:rsid w:val="3D3C39E9"/>
    <w:rsid w:val="3D3D5195"/>
    <w:rsid w:val="3D5809BF"/>
    <w:rsid w:val="3D5840B4"/>
    <w:rsid w:val="3D8056C1"/>
    <w:rsid w:val="3D8250CD"/>
    <w:rsid w:val="3D886B18"/>
    <w:rsid w:val="3D8D6C73"/>
    <w:rsid w:val="3DAA06EA"/>
    <w:rsid w:val="3DB72B10"/>
    <w:rsid w:val="3DD5450A"/>
    <w:rsid w:val="3DD64AAF"/>
    <w:rsid w:val="3E0428DD"/>
    <w:rsid w:val="3E686071"/>
    <w:rsid w:val="3EAA6D61"/>
    <w:rsid w:val="3EE0118E"/>
    <w:rsid w:val="3EF2562A"/>
    <w:rsid w:val="3F081063"/>
    <w:rsid w:val="3F146478"/>
    <w:rsid w:val="3F1879ED"/>
    <w:rsid w:val="3F334F59"/>
    <w:rsid w:val="3F474B64"/>
    <w:rsid w:val="3F6F58B5"/>
    <w:rsid w:val="3FC848E6"/>
    <w:rsid w:val="40072094"/>
    <w:rsid w:val="403E0A9D"/>
    <w:rsid w:val="40661336"/>
    <w:rsid w:val="40B23BE6"/>
    <w:rsid w:val="410A19BD"/>
    <w:rsid w:val="410F405E"/>
    <w:rsid w:val="41134F23"/>
    <w:rsid w:val="412916E7"/>
    <w:rsid w:val="413A03B5"/>
    <w:rsid w:val="414E3A45"/>
    <w:rsid w:val="415A50AF"/>
    <w:rsid w:val="41874A60"/>
    <w:rsid w:val="41886AB8"/>
    <w:rsid w:val="41DC5E77"/>
    <w:rsid w:val="41E56D65"/>
    <w:rsid w:val="41F84D68"/>
    <w:rsid w:val="41FD5E23"/>
    <w:rsid w:val="422C3859"/>
    <w:rsid w:val="423D7C1E"/>
    <w:rsid w:val="42470693"/>
    <w:rsid w:val="424C4FE3"/>
    <w:rsid w:val="4258271B"/>
    <w:rsid w:val="425F073A"/>
    <w:rsid w:val="426E3DF0"/>
    <w:rsid w:val="426F64C9"/>
    <w:rsid w:val="42AC3492"/>
    <w:rsid w:val="42DE7246"/>
    <w:rsid w:val="433927C2"/>
    <w:rsid w:val="43892132"/>
    <w:rsid w:val="43E70741"/>
    <w:rsid w:val="44001A5E"/>
    <w:rsid w:val="446641FC"/>
    <w:rsid w:val="44BC1927"/>
    <w:rsid w:val="452A6F84"/>
    <w:rsid w:val="45652C74"/>
    <w:rsid w:val="456C67DF"/>
    <w:rsid w:val="45BD746F"/>
    <w:rsid w:val="45F469CB"/>
    <w:rsid w:val="46120782"/>
    <w:rsid w:val="463860E8"/>
    <w:rsid w:val="464253F9"/>
    <w:rsid w:val="46461124"/>
    <w:rsid w:val="466B182E"/>
    <w:rsid w:val="469524E8"/>
    <w:rsid w:val="46B42AA5"/>
    <w:rsid w:val="46C549B6"/>
    <w:rsid w:val="46F076EF"/>
    <w:rsid w:val="46F5605C"/>
    <w:rsid w:val="4715323E"/>
    <w:rsid w:val="47414DD9"/>
    <w:rsid w:val="47700CDF"/>
    <w:rsid w:val="479467E8"/>
    <w:rsid w:val="479B4CF7"/>
    <w:rsid w:val="47C344EE"/>
    <w:rsid w:val="47F87462"/>
    <w:rsid w:val="47FD127E"/>
    <w:rsid w:val="48025917"/>
    <w:rsid w:val="480F2E5A"/>
    <w:rsid w:val="482663FF"/>
    <w:rsid w:val="48314608"/>
    <w:rsid w:val="484A6294"/>
    <w:rsid w:val="488F2CC7"/>
    <w:rsid w:val="48A01254"/>
    <w:rsid w:val="48A407E6"/>
    <w:rsid w:val="48CF371A"/>
    <w:rsid w:val="48E11D5B"/>
    <w:rsid w:val="48F50606"/>
    <w:rsid w:val="493756E2"/>
    <w:rsid w:val="494B1258"/>
    <w:rsid w:val="49500FCF"/>
    <w:rsid w:val="496550AC"/>
    <w:rsid w:val="49D46CB0"/>
    <w:rsid w:val="49F1338C"/>
    <w:rsid w:val="49F51014"/>
    <w:rsid w:val="49FA4CE4"/>
    <w:rsid w:val="49FC2FC3"/>
    <w:rsid w:val="4A2B243B"/>
    <w:rsid w:val="4A5B53B1"/>
    <w:rsid w:val="4A800BE6"/>
    <w:rsid w:val="4AC736CE"/>
    <w:rsid w:val="4ACC30A4"/>
    <w:rsid w:val="4AF87B42"/>
    <w:rsid w:val="4B225D19"/>
    <w:rsid w:val="4B4A6C4E"/>
    <w:rsid w:val="4B544FB7"/>
    <w:rsid w:val="4B5654B0"/>
    <w:rsid w:val="4BE808F6"/>
    <w:rsid w:val="4C054C98"/>
    <w:rsid w:val="4C580C3F"/>
    <w:rsid w:val="4CD7691E"/>
    <w:rsid w:val="4D4943AD"/>
    <w:rsid w:val="4D4B538E"/>
    <w:rsid w:val="4D94520C"/>
    <w:rsid w:val="4DE638B8"/>
    <w:rsid w:val="4E0807A7"/>
    <w:rsid w:val="4E1F67D7"/>
    <w:rsid w:val="4E2116E9"/>
    <w:rsid w:val="4E4D5AC0"/>
    <w:rsid w:val="4E697FB9"/>
    <w:rsid w:val="4E720C5E"/>
    <w:rsid w:val="4EBC7F3B"/>
    <w:rsid w:val="4F152684"/>
    <w:rsid w:val="4F2A55A9"/>
    <w:rsid w:val="4F2E0E0B"/>
    <w:rsid w:val="4F3651FA"/>
    <w:rsid w:val="4FA71918"/>
    <w:rsid w:val="4FB66684"/>
    <w:rsid w:val="4FD330CC"/>
    <w:rsid w:val="50203970"/>
    <w:rsid w:val="50562FD8"/>
    <w:rsid w:val="50681F00"/>
    <w:rsid w:val="506D4B31"/>
    <w:rsid w:val="507327CC"/>
    <w:rsid w:val="50CC5E28"/>
    <w:rsid w:val="50D67354"/>
    <w:rsid w:val="50E503C3"/>
    <w:rsid w:val="51040E06"/>
    <w:rsid w:val="510F504C"/>
    <w:rsid w:val="51644DBE"/>
    <w:rsid w:val="51823F64"/>
    <w:rsid w:val="519438A1"/>
    <w:rsid w:val="51BC4CC0"/>
    <w:rsid w:val="51BE28E0"/>
    <w:rsid w:val="52333C45"/>
    <w:rsid w:val="524F71B5"/>
    <w:rsid w:val="52605BCA"/>
    <w:rsid w:val="52636DDD"/>
    <w:rsid w:val="52937031"/>
    <w:rsid w:val="53023ECE"/>
    <w:rsid w:val="53661A2B"/>
    <w:rsid w:val="53B1403B"/>
    <w:rsid w:val="53DE6777"/>
    <w:rsid w:val="53ED44A2"/>
    <w:rsid w:val="53EE523E"/>
    <w:rsid w:val="54B554B1"/>
    <w:rsid w:val="54E03962"/>
    <w:rsid w:val="54EF2081"/>
    <w:rsid w:val="54F34D0E"/>
    <w:rsid w:val="55270580"/>
    <w:rsid w:val="55312534"/>
    <w:rsid w:val="55332C91"/>
    <w:rsid w:val="559358EB"/>
    <w:rsid w:val="55A7171D"/>
    <w:rsid w:val="55AB3472"/>
    <w:rsid w:val="55F2156F"/>
    <w:rsid w:val="55F25B15"/>
    <w:rsid w:val="560046E0"/>
    <w:rsid w:val="56914577"/>
    <w:rsid w:val="56935787"/>
    <w:rsid w:val="56D73520"/>
    <w:rsid w:val="56FA7CF3"/>
    <w:rsid w:val="57362DAC"/>
    <w:rsid w:val="57A10134"/>
    <w:rsid w:val="57A85800"/>
    <w:rsid w:val="57AB79F3"/>
    <w:rsid w:val="57B0626D"/>
    <w:rsid w:val="57DA63DB"/>
    <w:rsid w:val="57E76307"/>
    <w:rsid w:val="57EA2CB5"/>
    <w:rsid w:val="580D02D9"/>
    <w:rsid w:val="5821257B"/>
    <w:rsid w:val="582855AC"/>
    <w:rsid w:val="584D54A8"/>
    <w:rsid w:val="586D3040"/>
    <w:rsid w:val="58CC1700"/>
    <w:rsid w:val="58D671ED"/>
    <w:rsid w:val="596B63CD"/>
    <w:rsid w:val="598575C7"/>
    <w:rsid w:val="59B4752E"/>
    <w:rsid w:val="59D24511"/>
    <w:rsid w:val="5A3C3061"/>
    <w:rsid w:val="5A6715C3"/>
    <w:rsid w:val="5A7E2423"/>
    <w:rsid w:val="5A807024"/>
    <w:rsid w:val="5A8E30BA"/>
    <w:rsid w:val="5AEC6F87"/>
    <w:rsid w:val="5B1416FF"/>
    <w:rsid w:val="5B3D7B01"/>
    <w:rsid w:val="5B6B59D6"/>
    <w:rsid w:val="5B9975C6"/>
    <w:rsid w:val="5BAF6ABC"/>
    <w:rsid w:val="5BCD50F5"/>
    <w:rsid w:val="5C4C6F8A"/>
    <w:rsid w:val="5C4D5980"/>
    <w:rsid w:val="5C5D2B35"/>
    <w:rsid w:val="5C657C3C"/>
    <w:rsid w:val="5C730E0D"/>
    <w:rsid w:val="5C7737B4"/>
    <w:rsid w:val="5C796B63"/>
    <w:rsid w:val="5C7D754A"/>
    <w:rsid w:val="5C886D84"/>
    <w:rsid w:val="5D150984"/>
    <w:rsid w:val="5D1C04EB"/>
    <w:rsid w:val="5D201AFA"/>
    <w:rsid w:val="5DC44999"/>
    <w:rsid w:val="5E162269"/>
    <w:rsid w:val="5E3B6EAB"/>
    <w:rsid w:val="5E456928"/>
    <w:rsid w:val="5E650021"/>
    <w:rsid w:val="5EA031AD"/>
    <w:rsid w:val="5EA547FC"/>
    <w:rsid w:val="5EA8566E"/>
    <w:rsid w:val="5EB2506A"/>
    <w:rsid w:val="5F061262"/>
    <w:rsid w:val="5F2409AA"/>
    <w:rsid w:val="5F3B2A2C"/>
    <w:rsid w:val="5F4B0614"/>
    <w:rsid w:val="5F5664BA"/>
    <w:rsid w:val="5F7672EE"/>
    <w:rsid w:val="5FD47380"/>
    <w:rsid w:val="5FF2193B"/>
    <w:rsid w:val="603E44C2"/>
    <w:rsid w:val="60454DC6"/>
    <w:rsid w:val="60793D60"/>
    <w:rsid w:val="607A0FDF"/>
    <w:rsid w:val="609A77F3"/>
    <w:rsid w:val="60AF592A"/>
    <w:rsid w:val="60CD4EE0"/>
    <w:rsid w:val="61061A64"/>
    <w:rsid w:val="610D33E8"/>
    <w:rsid w:val="6111015C"/>
    <w:rsid w:val="61155538"/>
    <w:rsid w:val="616C090E"/>
    <w:rsid w:val="61A16FA3"/>
    <w:rsid w:val="61AB611F"/>
    <w:rsid w:val="61C80A51"/>
    <w:rsid w:val="61CB421C"/>
    <w:rsid w:val="61E6022A"/>
    <w:rsid w:val="61ED403B"/>
    <w:rsid w:val="622E4B4F"/>
    <w:rsid w:val="62736B5C"/>
    <w:rsid w:val="62D61527"/>
    <w:rsid w:val="632D01EE"/>
    <w:rsid w:val="63406489"/>
    <w:rsid w:val="635C27BC"/>
    <w:rsid w:val="63612013"/>
    <w:rsid w:val="639C0FD0"/>
    <w:rsid w:val="64732979"/>
    <w:rsid w:val="64774C22"/>
    <w:rsid w:val="64930237"/>
    <w:rsid w:val="64DB0E6A"/>
    <w:rsid w:val="64E312EA"/>
    <w:rsid w:val="64FD1D2C"/>
    <w:rsid w:val="64FF0E37"/>
    <w:rsid w:val="6542378D"/>
    <w:rsid w:val="654C5215"/>
    <w:rsid w:val="65564942"/>
    <w:rsid w:val="657955CE"/>
    <w:rsid w:val="65B11604"/>
    <w:rsid w:val="65C3019F"/>
    <w:rsid w:val="65CB044C"/>
    <w:rsid w:val="66093845"/>
    <w:rsid w:val="661A6B25"/>
    <w:rsid w:val="662078E9"/>
    <w:rsid w:val="665B44BF"/>
    <w:rsid w:val="66757D67"/>
    <w:rsid w:val="66993CB4"/>
    <w:rsid w:val="66D43F13"/>
    <w:rsid w:val="66D54D8F"/>
    <w:rsid w:val="66DB6F61"/>
    <w:rsid w:val="67867F10"/>
    <w:rsid w:val="67904C08"/>
    <w:rsid w:val="67980EC5"/>
    <w:rsid w:val="67AB5116"/>
    <w:rsid w:val="67EB1084"/>
    <w:rsid w:val="68690C4B"/>
    <w:rsid w:val="68760BAE"/>
    <w:rsid w:val="68851407"/>
    <w:rsid w:val="68875844"/>
    <w:rsid w:val="68907FA8"/>
    <w:rsid w:val="68C14756"/>
    <w:rsid w:val="68E34325"/>
    <w:rsid w:val="68E35FEE"/>
    <w:rsid w:val="68E97071"/>
    <w:rsid w:val="68F71C1C"/>
    <w:rsid w:val="690D36B5"/>
    <w:rsid w:val="69880E06"/>
    <w:rsid w:val="69BE41E9"/>
    <w:rsid w:val="69C90C5E"/>
    <w:rsid w:val="69EB17D5"/>
    <w:rsid w:val="6A7E0847"/>
    <w:rsid w:val="6A916FAB"/>
    <w:rsid w:val="6AF47BCB"/>
    <w:rsid w:val="6B1D05B6"/>
    <w:rsid w:val="6B5C0C74"/>
    <w:rsid w:val="6B6B0C05"/>
    <w:rsid w:val="6B7B29AF"/>
    <w:rsid w:val="6B83339D"/>
    <w:rsid w:val="6B947BF6"/>
    <w:rsid w:val="6BAF0A53"/>
    <w:rsid w:val="6C1D1CF9"/>
    <w:rsid w:val="6C284B26"/>
    <w:rsid w:val="6C420591"/>
    <w:rsid w:val="6C4938C9"/>
    <w:rsid w:val="6C6C2EC5"/>
    <w:rsid w:val="6C893B72"/>
    <w:rsid w:val="6CA078E5"/>
    <w:rsid w:val="6CA11684"/>
    <w:rsid w:val="6CBB43F2"/>
    <w:rsid w:val="6CCF4627"/>
    <w:rsid w:val="6CFE24DC"/>
    <w:rsid w:val="6D22538C"/>
    <w:rsid w:val="6D56066E"/>
    <w:rsid w:val="6D781C7B"/>
    <w:rsid w:val="6D9B2892"/>
    <w:rsid w:val="6DAE06A1"/>
    <w:rsid w:val="6DD12A21"/>
    <w:rsid w:val="6DF33E64"/>
    <w:rsid w:val="6E321185"/>
    <w:rsid w:val="6E500C00"/>
    <w:rsid w:val="6F871CCB"/>
    <w:rsid w:val="6FA60A54"/>
    <w:rsid w:val="6FE0105F"/>
    <w:rsid w:val="6FE729EA"/>
    <w:rsid w:val="6FF4486F"/>
    <w:rsid w:val="702D37D0"/>
    <w:rsid w:val="70527DA8"/>
    <w:rsid w:val="71145339"/>
    <w:rsid w:val="7119633D"/>
    <w:rsid w:val="712C5715"/>
    <w:rsid w:val="713570D8"/>
    <w:rsid w:val="715F2ECD"/>
    <w:rsid w:val="71CC00E9"/>
    <w:rsid w:val="723F0B3D"/>
    <w:rsid w:val="726C1D02"/>
    <w:rsid w:val="7273126F"/>
    <w:rsid w:val="727437AD"/>
    <w:rsid w:val="72870EA5"/>
    <w:rsid w:val="728C67B5"/>
    <w:rsid w:val="72AD146B"/>
    <w:rsid w:val="72B959D5"/>
    <w:rsid w:val="72F53EEF"/>
    <w:rsid w:val="72FA299B"/>
    <w:rsid w:val="72FC5A4E"/>
    <w:rsid w:val="730A652D"/>
    <w:rsid w:val="73563827"/>
    <w:rsid w:val="735F29E1"/>
    <w:rsid w:val="736B17B5"/>
    <w:rsid w:val="738F45D6"/>
    <w:rsid w:val="739069A3"/>
    <w:rsid w:val="74264B66"/>
    <w:rsid w:val="743957DE"/>
    <w:rsid w:val="743A395A"/>
    <w:rsid w:val="743B7742"/>
    <w:rsid w:val="74567B65"/>
    <w:rsid w:val="745F0D51"/>
    <w:rsid w:val="74795B53"/>
    <w:rsid w:val="74B72AE2"/>
    <w:rsid w:val="74C005B7"/>
    <w:rsid w:val="74DE6A91"/>
    <w:rsid w:val="753B3B98"/>
    <w:rsid w:val="75BC0475"/>
    <w:rsid w:val="75CB791B"/>
    <w:rsid w:val="75D04F6C"/>
    <w:rsid w:val="75D716AE"/>
    <w:rsid w:val="75DB314A"/>
    <w:rsid w:val="766825A8"/>
    <w:rsid w:val="76945974"/>
    <w:rsid w:val="76AF107E"/>
    <w:rsid w:val="76BC57A9"/>
    <w:rsid w:val="76E856C9"/>
    <w:rsid w:val="76EA61F8"/>
    <w:rsid w:val="76F06230"/>
    <w:rsid w:val="770524AE"/>
    <w:rsid w:val="772D2635"/>
    <w:rsid w:val="773311C7"/>
    <w:rsid w:val="77542ED2"/>
    <w:rsid w:val="775878D1"/>
    <w:rsid w:val="77774CBA"/>
    <w:rsid w:val="7778629B"/>
    <w:rsid w:val="778237F5"/>
    <w:rsid w:val="77A512E4"/>
    <w:rsid w:val="77BD292C"/>
    <w:rsid w:val="77DC49B4"/>
    <w:rsid w:val="77F3346D"/>
    <w:rsid w:val="7826628B"/>
    <w:rsid w:val="78884C81"/>
    <w:rsid w:val="78CD0CE6"/>
    <w:rsid w:val="79326FC4"/>
    <w:rsid w:val="79D405E1"/>
    <w:rsid w:val="79DE27F9"/>
    <w:rsid w:val="7A08390E"/>
    <w:rsid w:val="7A7B3281"/>
    <w:rsid w:val="7A7B7874"/>
    <w:rsid w:val="7AC62E9D"/>
    <w:rsid w:val="7AE87ACA"/>
    <w:rsid w:val="7AEC1440"/>
    <w:rsid w:val="7AEE5FE3"/>
    <w:rsid w:val="7B14584D"/>
    <w:rsid w:val="7B7975D4"/>
    <w:rsid w:val="7BA87C23"/>
    <w:rsid w:val="7BF22BB4"/>
    <w:rsid w:val="7C21213C"/>
    <w:rsid w:val="7C2B005E"/>
    <w:rsid w:val="7CB144F2"/>
    <w:rsid w:val="7CBF0117"/>
    <w:rsid w:val="7CD66AA5"/>
    <w:rsid w:val="7D6E7503"/>
    <w:rsid w:val="7D6F2271"/>
    <w:rsid w:val="7D704111"/>
    <w:rsid w:val="7D9225A0"/>
    <w:rsid w:val="7DCA26A6"/>
    <w:rsid w:val="7DE86492"/>
    <w:rsid w:val="7DF516A8"/>
    <w:rsid w:val="7E00216C"/>
    <w:rsid w:val="7E2702BF"/>
    <w:rsid w:val="7E4416A8"/>
    <w:rsid w:val="7E5466DB"/>
    <w:rsid w:val="7E5734F8"/>
    <w:rsid w:val="7EAD25B9"/>
    <w:rsid w:val="7EBE4A1B"/>
    <w:rsid w:val="7EC844CD"/>
    <w:rsid w:val="7ED64101"/>
    <w:rsid w:val="7EF3018C"/>
    <w:rsid w:val="7EF945F5"/>
    <w:rsid w:val="7F0F387B"/>
    <w:rsid w:val="7F2B79D2"/>
    <w:rsid w:val="7F620525"/>
    <w:rsid w:val="7F63198A"/>
    <w:rsid w:val="7FE62336"/>
    <w:rsid w:val="7FF260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样式"/>
    <w:basedOn w:val="1"/>
    <w:qFormat/>
    <w:uiPriority w:val="99"/>
    <w:pPr>
      <w:ind w:firstLine="200"/>
    </w:pPr>
    <w:rPr>
      <w:spacing w:val="16"/>
      <w:szCs w:val="24"/>
    </w:rPr>
  </w:style>
  <w:style w:type="paragraph" w:styleId="4">
    <w:name w:val="Document Map"/>
    <w:basedOn w:val="1"/>
    <w:semiHidden/>
    <w:qFormat/>
    <w:uiPriority w:val="0"/>
    <w:pPr>
      <w:shd w:val="clear" w:color="auto" w:fill="000080"/>
    </w:pPr>
  </w:style>
  <w:style w:type="paragraph" w:styleId="5">
    <w:name w:val="annotation text"/>
    <w:basedOn w:val="1"/>
    <w:link w:val="23"/>
    <w:semiHidden/>
    <w:qFormat/>
    <w:uiPriority w:val="0"/>
    <w:pPr>
      <w:jc w:val="left"/>
    </w:pPr>
    <w:rPr>
      <w:kern w:val="0"/>
    </w:rPr>
  </w:style>
  <w:style w:type="paragraph" w:styleId="6">
    <w:name w:val="Balloon Text"/>
    <w:basedOn w:val="1"/>
    <w:link w:val="24"/>
    <w:semiHidden/>
    <w:qFormat/>
    <w:uiPriority w:val="0"/>
    <w:rPr>
      <w:kern w:val="0"/>
      <w:sz w:val="18"/>
      <w:szCs w:val="18"/>
    </w:rPr>
  </w:style>
  <w:style w:type="paragraph" w:styleId="7">
    <w:name w:val="footer"/>
    <w:basedOn w:val="1"/>
    <w:link w:val="25"/>
    <w:semiHidden/>
    <w:qFormat/>
    <w:uiPriority w:val="0"/>
    <w:pPr>
      <w:tabs>
        <w:tab w:val="center" w:pos="4153"/>
        <w:tab w:val="right" w:pos="8306"/>
      </w:tabs>
      <w:snapToGrid w:val="0"/>
      <w:jc w:val="left"/>
    </w:pPr>
    <w:rPr>
      <w:kern w:val="0"/>
      <w:sz w:val="18"/>
      <w:szCs w:val="18"/>
    </w:rPr>
  </w:style>
  <w:style w:type="paragraph" w:styleId="8">
    <w:name w:val="header"/>
    <w:basedOn w:val="1"/>
    <w:link w:val="26"/>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annotation subject"/>
    <w:basedOn w:val="5"/>
    <w:next w:val="5"/>
    <w:link w:val="27"/>
    <w:semiHidden/>
    <w:qFormat/>
    <w:uiPriority w:val="0"/>
    <w:rPr>
      <w:b/>
      <w:bCs/>
    </w:rPr>
  </w:style>
  <w:style w:type="table" w:styleId="13">
    <w:name w:val="Table Grid"/>
    <w:basedOn w:val="12"/>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locked/>
    <w:uiPriority w:val="0"/>
    <w:rPr>
      <w:b/>
      <w:bCs/>
    </w:rPr>
  </w:style>
  <w:style w:type="character" w:styleId="16">
    <w:name w:val="FollowedHyperlink"/>
    <w:basedOn w:val="14"/>
    <w:qFormat/>
    <w:uiPriority w:val="0"/>
    <w:rPr>
      <w:color w:val="333333"/>
      <w:u w:val="none"/>
    </w:rPr>
  </w:style>
  <w:style w:type="character" w:styleId="17">
    <w:name w:val="Emphasis"/>
    <w:basedOn w:val="14"/>
    <w:qFormat/>
    <w:locked/>
    <w:uiPriority w:val="0"/>
    <w:rPr>
      <w:color w:val="FF0000"/>
    </w:rPr>
  </w:style>
  <w:style w:type="character" w:styleId="18">
    <w:name w:val="Hyperlink"/>
    <w:basedOn w:val="14"/>
    <w:qFormat/>
    <w:uiPriority w:val="0"/>
    <w:rPr>
      <w:color w:val="333333"/>
      <w:u w:val="none"/>
    </w:rPr>
  </w:style>
  <w:style w:type="character" w:styleId="19">
    <w:name w:val="HTML Code"/>
    <w:basedOn w:val="14"/>
    <w:qFormat/>
    <w:uiPriority w:val="0"/>
    <w:rPr>
      <w:rFonts w:hint="default" w:ascii="monospace" w:hAnsi="monospace" w:eastAsia="monospace" w:cs="monospace"/>
      <w:sz w:val="21"/>
      <w:szCs w:val="21"/>
    </w:rPr>
  </w:style>
  <w:style w:type="character" w:styleId="20">
    <w:name w:val="annotation reference"/>
    <w:semiHidden/>
    <w:qFormat/>
    <w:uiPriority w:val="0"/>
    <w:rPr>
      <w:rFonts w:cs="Times New Roman"/>
      <w:sz w:val="21"/>
      <w:szCs w:val="21"/>
    </w:rPr>
  </w:style>
  <w:style w:type="character" w:styleId="21">
    <w:name w:val="HTML Keyboard"/>
    <w:basedOn w:val="14"/>
    <w:qFormat/>
    <w:uiPriority w:val="0"/>
    <w:rPr>
      <w:rFonts w:ascii="monospace" w:hAnsi="monospace" w:eastAsia="monospace" w:cs="monospace"/>
      <w:sz w:val="21"/>
      <w:szCs w:val="21"/>
    </w:rPr>
  </w:style>
  <w:style w:type="character" w:styleId="22">
    <w:name w:val="HTML Sample"/>
    <w:basedOn w:val="14"/>
    <w:qFormat/>
    <w:uiPriority w:val="0"/>
    <w:rPr>
      <w:rFonts w:hint="default" w:ascii="monospace" w:hAnsi="monospace" w:eastAsia="monospace" w:cs="monospace"/>
      <w:sz w:val="21"/>
      <w:szCs w:val="21"/>
    </w:rPr>
  </w:style>
  <w:style w:type="character" w:customStyle="1" w:styleId="23">
    <w:name w:val="批注文字 Char"/>
    <w:link w:val="5"/>
    <w:semiHidden/>
    <w:qFormat/>
    <w:locked/>
    <w:uiPriority w:val="0"/>
    <w:rPr>
      <w:rFonts w:ascii="Times New Roman" w:hAnsi="Times New Roman" w:cs="Times New Roman"/>
      <w:sz w:val="21"/>
      <w:szCs w:val="21"/>
    </w:rPr>
  </w:style>
  <w:style w:type="character" w:customStyle="1" w:styleId="24">
    <w:name w:val="批注框文本 Char"/>
    <w:link w:val="6"/>
    <w:semiHidden/>
    <w:qFormat/>
    <w:locked/>
    <w:uiPriority w:val="0"/>
    <w:rPr>
      <w:rFonts w:ascii="Times New Roman" w:hAnsi="Times New Roman" w:eastAsia="宋体" w:cs="Times New Roman"/>
      <w:sz w:val="18"/>
      <w:szCs w:val="18"/>
    </w:rPr>
  </w:style>
  <w:style w:type="character" w:customStyle="1" w:styleId="25">
    <w:name w:val="页脚 Char"/>
    <w:link w:val="7"/>
    <w:semiHidden/>
    <w:qFormat/>
    <w:locked/>
    <w:uiPriority w:val="0"/>
    <w:rPr>
      <w:rFonts w:ascii="Times New Roman" w:hAnsi="Times New Roman" w:eastAsia="宋体" w:cs="Times New Roman"/>
      <w:sz w:val="18"/>
      <w:szCs w:val="18"/>
    </w:rPr>
  </w:style>
  <w:style w:type="character" w:customStyle="1" w:styleId="26">
    <w:name w:val="页眉 Char"/>
    <w:link w:val="8"/>
    <w:semiHidden/>
    <w:qFormat/>
    <w:locked/>
    <w:uiPriority w:val="0"/>
    <w:rPr>
      <w:rFonts w:ascii="Times New Roman" w:hAnsi="Times New Roman" w:eastAsia="宋体" w:cs="Times New Roman"/>
      <w:sz w:val="18"/>
      <w:szCs w:val="18"/>
    </w:rPr>
  </w:style>
  <w:style w:type="character" w:customStyle="1" w:styleId="27">
    <w:name w:val="批注主题 Char"/>
    <w:link w:val="11"/>
    <w:semiHidden/>
    <w:qFormat/>
    <w:locked/>
    <w:uiPriority w:val="0"/>
    <w:rPr>
      <w:rFonts w:ascii="Times New Roman" w:hAnsi="Times New Roman" w:cs="Times New Roman"/>
      <w:b/>
      <w:bCs/>
      <w:sz w:val="21"/>
      <w:szCs w:val="21"/>
    </w:rPr>
  </w:style>
  <w:style w:type="character" w:customStyle="1" w:styleId="28">
    <w:name w:val="hot-question-icon"/>
    <w:basedOn w:val="14"/>
    <w:qFormat/>
    <w:uiPriority w:val="0"/>
    <w:rPr>
      <w:color w:val="FF0000"/>
    </w:rPr>
  </w:style>
  <w:style w:type="character" w:customStyle="1" w:styleId="29">
    <w:name w:val="info-content"/>
    <w:basedOn w:val="14"/>
    <w:qFormat/>
    <w:uiPriority w:val="0"/>
    <w:rPr>
      <w:color w:val="808080"/>
    </w:rPr>
  </w:style>
  <w:style w:type="character" w:customStyle="1" w:styleId="30">
    <w:name w:val="no-reply-icon"/>
    <w:basedOn w:val="14"/>
    <w:qFormat/>
    <w:uiPriority w:val="0"/>
    <w:rPr>
      <w:color w:val="BBC0CC"/>
      <w:bdr w:val="single" w:color="F8F8F8" w:sz="6" w:space="0"/>
      <w:shd w:val="clear" w:color="auto" w:fill="F8F8F8"/>
    </w:rPr>
  </w:style>
  <w:style w:type="character" w:customStyle="1" w:styleId="31">
    <w:name w:val="info-label"/>
    <w:basedOn w:val="14"/>
    <w:qFormat/>
    <w:uiPriority w:val="0"/>
    <w:rPr>
      <w:b/>
    </w:rPr>
  </w:style>
  <w:style w:type="character" w:customStyle="1" w:styleId="32">
    <w:name w:val="hover"/>
    <w:basedOn w:val="14"/>
    <w:qFormat/>
    <w:uiPriority w:val="0"/>
    <w:rPr>
      <w:color w:val="0077E6"/>
    </w:rPr>
  </w:style>
  <w:style w:type="character" w:customStyle="1" w:styleId="33">
    <w:name w:val="nth-child(3)"/>
    <w:basedOn w:val="14"/>
    <w:qFormat/>
    <w:uiPriority w:val="0"/>
  </w:style>
  <w:style w:type="character" w:customStyle="1" w:styleId="34">
    <w:name w:val="not([class*=suffix])"/>
    <w:basedOn w:val="14"/>
    <w:qFormat/>
    <w:uiPriority w:val="0"/>
    <w:rPr>
      <w:sz w:val="19"/>
      <w:szCs w:val="19"/>
    </w:rPr>
  </w:style>
  <w:style w:type="character" w:customStyle="1" w:styleId="35">
    <w:name w:val="current"/>
    <w:basedOn w:val="14"/>
    <w:qFormat/>
    <w:uiPriority w:val="0"/>
    <w:rPr>
      <w:color w:val="00C1DE"/>
    </w:rPr>
  </w:style>
  <w:style w:type="character" w:customStyle="1" w:styleId="36">
    <w:name w:val="flag-title"/>
    <w:basedOn w:val="14"/>
    <w:qFormat/>
    <w:uiPriority w:val="0"/>
    <w:rPr>
      <w:color w:val="8790A4"/>
      <w:sz w:val="18"/>
      <w:szCs w:val="18"/>
      <w:bdr w:val="dashed" w:color="E5E5E5" w:sz="6" w:space="0"/>
    </w:rPr>
  </w:style>
  <w:style w:type="character" w:customStyle="1" w:styleId="37">
    <w:name w:val="right"/>
    <w:basedOn w:val="14"/>
    <w:qFormat/>
    <w:uiPriority w:val="0"/>
    <w:rPr>
      <w:shd w:val="clear" w:color="auto" w:fill="E5E5E5"/>
    </w:rPr>
  </w:style>
  <w:style w:type="character" w:customStyle="1" w:styleId="38">
    <w:name w:val="nth-child(1)"/>
    <w:basedOn w:val="14"/>
    <w:qFormat/>
    <w:uiPriority w:val="0"/>
  </w:style>
  <w:style w:type="character" w:customStyle="1" w:styleId="39">
    <w:name w:val="new-question-icon"/>
    <w:basedOn w:val="14"/>
    <w:qFormat/>
    <w:uiPriority w:val="0"/>
    <w:rPr>
      <w:color w:val="F99403"/>
      <w:bdr w:val="single" w:color="FFF8E2" w:sz="6" w:space="0"/>
      <w:shd w:val="clear" w:color="auto" w:fill="FFF8E2"/>
    </w:rPr>
  </w:style>
  <w:style w:type="character" w:customStyle="1" w:styleId="40">
    <w:name w:val="current1"/>
    <w:basedOn w:val="14"/>
    <w:qFormat/>
    <w:uiPriority w:val="0"/>
    <w:rPr>
      <w:color w:val="00C1DE"/>
    </w:rPr>
  </w:style>
  <w:style w:type="character" w:customStyle="1" w:styleId="41">
    <w:name w:val="not([class*=suffix])1"/>
    <w:basedOn w:val="14"/>
    <w:qFormat/>
    <w:uiPriority w:val="0"/>
  </w:style>
  <w:style w:type="character" w:customStyle="1" w:styleId="42">
    <w:name w:val="nth-child(2)"/>
    <w:basedOn w:val="14"/>
    <w:qFormat/>
    <w:uiPriority w:val="0"/>
  </w:style>
  <w:style w:type="character" w:customStyle="1" w:styleId="43">
    <w:name w:val="hover7"/>
    <w:basedOn w:val="14"/>
    <w:qFormat/>
    <w:uiPriority w:val="0"/>
    <w:rPr>
      <w:color w:val="0077E6"/>
    </w:rPr>
  </w:style>
  <w:style w:type="character" w:customStyle="1" w:styleId="44">
    <w:name w:val="flag-title2"/>
    <w:basedOn w:val="14"/>
    <w:qFormat/>
    <w:uiPriority w:val="0"/>
    <w:rPr>
      <w:color w:val="8790A4"/>
      <w:sz w:val="18"/>
      <w:szCs w:val="18"/>
      <w:bdr w:val="dashed" w:color="E5E5E5" w:sz="6" w:space="0"/>
    </w:rPr>
  </w:style>
  <w:style w:type="paragraph" w:customStyle="1" w:styleId="45">
    <w:name w:val="Char Char1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rFonts w:ascii="Verdana" w:hAnsi="Verdana" w:cs="Verdana"/>
      <w:kern w:val="0"/>
      <w:sz w:val="22"/>
      <w:szCs w:val="22"/>
      <w:lang w:eastAsia="en-US"/>
    </w:rPr>
  </w:style>
  <w:style w:type="paragraph" w:styleId="46">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47">
    <w:name w:val=" Char Char1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szCs w:val="24"/>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3927</Words>
  <Characters>4378</Characters>
  <Lines>12</Lines>
  <Paragraphs>3</Paragraphs>
  <TotalTime>3</TotalTime>
  <ScaleCrop>false</ScaleCrop>
  <LinksUpToDate>false</LinksUpToDate>
  <CharactersWithSpaces>4541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2020-08-17T03:35:00Z</dcterms:created>
  <dc:creator>User</dc:creator>
  <cp:lastModifiedBy>李增</cp:lastModifiedBy>
  <cp:lastPrinted>2022-04-28T06:42:00Z</cp:lastPrinted>
  <dcterms:modified xsi:type="dcterms:W3CDTF">2026-06-30T12:04:47Z</dcterms:modified>
  <dc:title>证券代码：烟台万润                                  证券简称：002643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CB345B740A184DD3AADB778E7E08C70C_13</vt:lpwstr>
  </property>
  <property fmtid="{D5CDD505-2E9C-101B-9397-08002B2CF9AE}" pid="4" name="KSOTemplateDocerSaveRecord">
    <vt:lpwstr>eyJoZGlkIjoiYWM3M2QxNmI0YWI4NGYwYWVlOGVjZmVhZjQyYTBlYmMiLCJ1c2VySWQiOiI2MzI3MDU3ODgifQ==</vt:lpwstr>
  </property>
</Properties>
</file>