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346BE">
      <w:pPr>
        <w:spacing w:after="468" w:afterLines="150" w:line="400" w:lineRule="exact"/>
        <w:rPr>
          <w:rFonts w:ascii="宋体"/>
          <w:color w:val="000000"/>
          <w:sz w:val="24"/>
          <w:szCs w:val="24"/>
        </w:rPr>
      </w:pPr>
      <w:r>
        <w:rPr>
          <w:rFonts w:hint="eastAsia" w:ascii="宋体" w:hAnsi="宋体" w:cs="宋体"/>
          <w:color w:val="000000"/>
          <w:sz w:val="24"/>
          <w:szCs w:val="24"/>
        </w:rPr>
        <w:t>证券代码：</w:t>
      </w:r>
      <w:r>
        <w:rPr>
          <w:rFonts w:ascii="宋体" w:hAnsi="宋体" w:cs="宋体"/>
          <w:color w:val="000000"/>
          <w:sz w:val="24"/>
          <w:szCs w:val="24"/>
        </w:rPr>
        <w:t xml:space="preserve">002643                               </w:t>
      </w:r>
      <w:r>
        <w:rPr>
          <w:rFonts w:hint="eastAsia" w:ascii="宋体" w:hAnsi="宋体" w:cs="宋体"/>
          <w:color w:val="000000"/>
          <w:sz w:val="24"/>
          <w:szCs w:val="24"/>
        </w:rPr>
        <w:t xml:space="preserve">                     证券简称：万润股份</w:t>
      </w:r>
    </w:p>
    <w:p w14:paraId="592D7D94">
      <w:pPr>
        <w:spacing w:before="156" w:beforeLines="50" w:after="156" w:afterLines="50" w:line="400" w:lineRule="exact"/>
        <w:jc w:val="center"/>
        <w:rPr>
          <w:rFonts w:ascii="宋体"/>
          <w:b/>
          <w:bCs/>
          <w:color w:val="000000"/>
          <w:sz w:val="32"/>
          <w:szCs w:val="32"/>
        </w:rPr>
      </w:pPr>
      <w:r>
        <w:rPr>
          <w:rFonts w:hint="eastAsia" w:ascii="宋体" w:hAnsi="宋体" w:cs="宋体"/>
          <w:b/>
          <w:bCs/>
          <w:color w:val="000000"/>
          <w:sz w:val="32"/>
          <w:szCs w:val="32"/>
        </w:rPr>
        <w:t>中节能万润股份有限公司投资者关系活动记录表</w:t>
      </w:r>
    </w:p>
    <w:p w14:paraId="087FF505">
      <w:pPr>
        <w:spacing w:line="400" w:lineRule="exact"/>
        <w:rPr>
          <w:rFonts w:hint="default" w:ascii="宋体" w:eastAsia="宋体"/>
          <w:color w:val="000000"/>
          <w:sz w:val="24"/>
          <w:szCs w:val="24"/>
          <w:lang w:val="en-US" w:eastAsia="zh-CN"/>
        </w:rPr>
      </w:pPr>
      <w:r>
        <w:rPr>
          <w:rFonts w:ascii="宋体" w:hAnsi="宋体" w:cs="宋体"/>
          <w:color w:val="000000"/>
          <w:sz w:val="24"/>
          <w:szCs w:val="24"/>
        </w:rPr>
        <w:t xml:space="preserve">                                                        </w:t>
      </w:r>
      <w:r>
        <w:rPr>
          <w:rFonts w:hint="eastAsia" w:ascii="宋体" w:hAnsi="宋体" w:cs="宋体"/>
          <w:color w:val="000000"/>
          <w:sz w:val="24"/>
          <w:szCs w:val="24"/>
        </w:rPr>
        <w:t xml:space="preserve">            编号：</w:t>
      </w:r>
      <w:r>
        <w:rPr>
          <w:rFonts w:hint="eastAsia" w:ascii="宋体" w:hAnsi="宋体" w:cs="宋体"/>
          <w:color w:val="000000"/>
          <w:sz w:val="24"/>
          <w:szCs w:val="24"/>
          <w:highlight w:val="none"/>
          <w:lang w:eastAsia="zh-CN"/>
        </w:rPr>
        <w:t>2026</w:t>
      </w:r>
      <w:r>
        <w:rPr>
          <w:rFonts w:hint="eastAsia" w:ascii="宋体" w:hAnsi="宋体" w:cs="宋体"/>
          <w:color w:val="000000"/>
          <w:sz w:val="24"/>
          <w:szCs w:val="24"/>
          <w:highlight w:val="none"/>
          <w:lang w:val="en-US" w:eastAsia="zh-CN"/>
        </w:rPr>
        <w:t>0427</w:t>
      </w:r>
    </w:p>
    <w:tbl>
      <w:tblPr>
        <w:tblStyle w:val="12"/>
        <w:tblW w:w="10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3488"/>
        <w:gridCol w:w="4312"/>
      </w:tblGrid>
      <w:tr w14:paraId="644D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8" w:type="dxa"/>
            <w:tcBorders>
              <w:top w:val="single" w:color="auto" w:sz="4" w:space="0"/>
              <w:left w:val="single" w:color="auto" w:sz="4" w:space="0"/>
              <w:bottom w:val="single" w:color="auto" w:sz="4" w:space="0"/>
              <w:right w:val="single" w:color="auto" w:sz="4" w:space="0"/>
            </w:tcBorders>
            <w:vAlign w:val="center"/>
          </w:tcPr>
          <w:p w14:paraId="6689FEF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color w:val="000000"/>
                <w:kern w:val="0"/>
                <w:sz w:val="24"/>
                <w:szCs w:val="24"/>
              </w:rPr>
            </w:pPr>
            <w:r>
              <w:rPr>
                <w:rFonts w:hint="eastAsia" w:ascii="宋体" w:hAnsi="宋体" w:cs="宋体"/>
                <w:color w:val="000000"/>
                <w:kern w:val="0"/>
                <w:sz w:val="24"/>
                <w:szCs w:val="24"/>
              </w:rPr>
              <w:t>投资者关系活动类别</w:t>
            </w:r>
          </w:p>
        </w:tc>
        <w:tc>
          <w:tcPr>
            <w:tcW w:w="7800" w:type="dxa"/>
            <w:gridSpan w:val="2"/>
            <w:tcBorders>
              <w:top w:val="single" w:color="auto" w:sz="4" w:space="0"/>
              <w:left w:val="single" w:color="auto" w:sz="4" w:space="0"/>
              <w:bottom w:val="single" w:color="auto" w:sz="4" w:space="0"/>
              <w:right w:val="single" w:color="auto" w:sz="4" w:space="0"/>
            </w:tcBorders>
            <w:vAlign w:val="top"/>
          </w:tcPr>
          <w:p w14:paraId="37ED15DD">
            <w:pPr>
              <w:spacing w:line="480" w:lineRule="atLeast"/>
              <w:rPr>
                <w:rFonts w:hint="eastAsia"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 xml:space="preserve">特定对象调研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     </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分析师会议</w:t>
            </w:r>
          </w:p>
          <w:p w14:paraId="4CC31362">
            <w:pPr>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4"/>
                <w:szCs w:val="24"/>
              </w:rPr>
              <w:t>媒体采访</w:t>
            </w:r>
            <w:r>
              <w:rPr>
                <w:rFonts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ascii="宋体" w:hAnsi="宋体" w:cs="宋体"/>
                <w:kern w:val="0"/>
                <w:sz w:val="24"/>
                <w:szCs w:val="24"/>
              </w:rPr>
              <w:t xml:space="preserve">    </w:t>
            </w:r>
            <w:r>
              <w:rPr>
                <w:rFonts w:hint="eastAsia" w:ascii="宋体" w:hAnsi="宋体" w:cs="宋体"/>
                <w:color w:val="000000"/>
                <w:kern w:val="0"/>
                <w:sz w:val="24"/>
                <w:szCs w:val="24"/>
              </w:rPr>
              <w:t>□</w:t>
            </w:r>
            <w:r>
              <w:rPr>
                <w:rFonts w:hint="eastAsia" w:ascii="宋体" w:hAnsi="宋体" w:cs="宋体"/>
                <w:kern w:val="0"/>
                <w:sz w:val="24"/>
                <w:szCs w:val="24"/>
              </w:rPr>
              <w:t>业绩说明会</w:t>
            </w:r>
          </w:p>
          <w:p w14:paraId="7A53EFE5">
            <w:pPr>
              <w:spacing w:line="480" w:lineRule="atLeast"/>
              <w:rPr>
                <w:rFonts w:hint="eastAsia" w:ascii="宋体" w:hAnsi="宋体" w:cs="宋体"/>
                <w:color w:val="000000"/>
                <w:kern w:val="0"/>
                <w:sz w:val="24"/>
                <w:szCs w:val="24"/>
              </w:rPr>
            </w:pPr>
            <w:r>
              <w:rPr>
                <w:rFonts w:hint="eastAsia" w:ascii="宋体" w:hAnsi="宋体" w:cs="宋体"/>
                <w:color w:val="000000"/>
                <w:kern w:val="0"/>
                <w:sz w:val="24"/>
                <w:szCs w:val="24"/>
              </w:rPr>
              <w:t xml:space="preserve">□新闻发布会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    □路演活动</w:t>
            </w:r>
          </w:p>
          <w:p w14:paraId="10B922B8">
            <w:pPr>
              <w:tabs>
                <w:tab w:val="left" w:pos="3045"/>
                <w:tab w:val="center" w:pos="3199"/>
              </w:tabs>
              <w:spacing w:line="480" w:lineRule="atLeast"/>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4"/>
                <w:szCs w:val="24"/>
              </w:rPr>
              <w:t>现场参观</w:t>
            </w:r>
          </w:p>
          <w:p w14:paraId="2868CC74">
            <w:pPr>
              <w:keepNext w:val="0"/>
              <w:keepLines w:val="0"/>
              <w:pageBreakBefore w:val="0"/>
              <w:widowControl w:val="0"/>
              <w:tabs>
                <w:tab w:val="center" w:pos="3199"/>
              </w:tabs>
              <w:kinsoku/>
              <w:wordWrap/>
              <w:overflowPunct/>
              <w:topLinePunct w:val="0"/>
              <w:autoSpaceDE/>
              <w:autoSpaceDN/>
              <w:bidi w:val="0"/>
              <w:adjustRightInd/>
              <w:snapToGrid/>
              <w:spacing w:after="157" w:afterLines="50" w:line="480" w:lineRule="atLeast"/>
              <w:textAlignment w:val="auto"/>
              <w:rPr>
                <w:rFonts w:ascii="宋体"/>
                <w:color w:val="000000"/>
                <w:kern w:val="0"/>
                <w:sz w:val="24"/>
                <w:szCs w:val="24"/>
              </w:rPr>
            </w:pPr>
            <w:r>
              <w:rPr>
                <w:rFonts w:hint="eastAsia" w:ascii="宋体" w:hAnsi="宋体" w:cs="宋体"/>
                <w:color w:val="000000"/>
                <w:kern w:val="0"/>
                <w:sz w:val="24"/>
                <w:szCs w:val="24"/>
              </w:rPr>
              <w:t>□</w:t>
            </w:r>
            <w:r>
              <w:rPr>
                <w:rFonts w:hint="eastAsia" w:ascii="宋体" w:hAnsi="宋体" w:cs="宋体"/>
                <w:kern w:val="0"/>
                <w:sz w:val="24"/>
                <w:szCs w:val="24"/>
              </w:rPr>
              <w:t>其他</w:t>
            </w:r>
            <w:r>
              <w:rPr>
                <w:rFonts w:ascii="宋体" w:hAnsi="宋体" w:cs="宋体"/>
                <w:kern w:val="0"/>
                <w:sz w:val="24"/>
                <w:szCs w:val="24"/>
              </w:rPr>
              <w:t xml:space="preserve"> </w:t>
            </w:r>
            <w:r>
              <w:rPr>
                <w:rFonts w:hint="eastAsia" w:ascii="宋体" w:hAnsi="宋体" w:cs="宋体"/>
                <w:kern w:val="0"/>
                <w:sz w:val="24"/>
                <w:szCs w:val="24"/>
                <w:u w:val="single"/>
              </w:rPr>
              <w:t xml:space="preserve">          </w:t>
            </w:r>
          </w:p>
        </w:tc>
      </w:tr>
      <w:tr w14:paraId="344A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14:paraId="5959B9A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活动参与人员</w:t>
            </w:r>
          </w:p>
        </w:tc>
        <w:tc>
          <w:tcPr>
            <w:tcW w:w="3488" w:type="dxa"/>
            <w:tcBorders>
              <w:top w:val="single" w:color="auto" w:sz="4" w:space="0"/>
              <w:left w:val="single" w:color="auto" w:sz="4" w:space="0"/>
              <w:bottom w:val="single" w:color="auto" w:sz="4" w:space="0"/>
              <w:right w:val="nil"/>
            </w:tcBorders>
            <w:vAlign w:val="center"/>
          </w:tcPr>
          <w:p w14:paraId="28A964EC">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default" w:ascii="宋体" w:hAnsi="宋体" w:cs="宋体"/>
                <w:color w:val="000000"/>
                <w:spacing w:val="0"/>
                <w:kern w:val="0"/>
                <w:sz w:val="24"/>
                <w:szCs w:val="24"/>
                <w:lang w:val="en-US" w:eastAsia="zh-CN" w:bidi="ar-SA"/>
              </w:rPr>
            </w:pPr>
            <w:r>
              <w:rPr>
                <w:rFonts w:hint="eastAsia" w:ascii="宋体" w:hAnsi="宋体" w:cs="宋体"/>
                <w:color w:val="000000"/>
                <w:spacing w:val="0"/>
                <w:kern w:val="0"/>
                <w:sz w:val="24"/>
                <w:szCs w:val="24"/>
                <w:lang w:val="en-US" w:eastAsia="zh-CN" w:bidi="ar-SA"/>
              </w:rPr>
              <w:t>天风证券：郭建奇</w:t>
            </w:r>
          </w:p>
        </w:tc>
        <w:tc>
          <w:tcPr>
            <w:tcW w:w="4312" w:type="dxa"/>
            <w:tcBorders>
              <w:top w:val="single" w:color="auto" w:sz="4" w:space="0"/>
              <w:left w:val="nil"/>
              <w:bottom w:val="single" w:color="auto" w:sz="4" w:space="0"/>
              <w:right w:val="single" w:color="auto" w:sz="4" w:space="0"/>
            </w:tcBorders>
            <w:vAlign w:val="center"/>
          </w:tcPr>
          <w:p w14:paraId="37CE7E59">
            <w:pPr>
              <w:pStyle w:val="2"/>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both"/>
              <w:textAlignment w:val="auto"/>
              <w:rPr>
                <w:rFonts w:hint="default"/>
                <w:spacing w:val="0"/>
                <w:sz w:val="24"/>
                <w:szCs w:val="24"/>
                <w:lang w:val="en-US" w:eastAsia="zh-CN"/>
              </w:rPr>
            </w:pPr>
            <w:r>
              <w:rPr>
                <w:rFonts w:hint="eastAsia"/>
                <w:spacing w:val="0"/>
                <w:sz w:val="24"/>
                <w:szCs w:val="24"/>
                <w:lang w:val="en-US" w:eastAsia="zh-CN"/>
              </w:rPr>
              <w:t>上海汇正财经：宋佳璐</w:t>
            </w:r>
          </w:p>
        </w:tc>
      </w:tr>
      <w:tr w14:paraId="04CC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14:paraId="5951B26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color w:val="000000"/>
                <w:kern w:val="0"/>
                <w:sz w:val="24"/>
                <w:szCs w:val="24"/>
              </w:rPr>
            </w:pPr>
            <w:r>
              <w:rPr>
                <w:rFonts w:hint="eastAsia" w:ascii="宋体" w:hAnsi="宋体" w:cs="宋体"/>
                <w:color w:val="000000"/>
                <w:kern w:val="0"/>
                <w:sz w:val="24"/>
                <w:szCs w:val="24"/>
                <w:lang w:val="en-US" w:eastAsia="zh-CN"/>
              </w:rPr>
              <w:t>时间</w:t>
            </w:r>
          </w:p>
        </w:tc>
        <w:tc>
          <w:tcPr>
            <w:tcW w:w="7800" w:type="dxa"/>
            <w:gridSpan w:val="2"/>
            <w:tcBorders>
              <w:top w:val="single" w:color="auto" w:sz="4" w:space="0"/>
              <w:left w:val="single" w:color="auto" w:sz="4" w:space="0"/>
              <w:bottom w:val="single" w:color="auto" w:sz="4" w:space="0"/>
              <w:right w:val="single" w:color="auto" w:sz="4" w:space="0"/>
            </w:tcBorders>
            <w:vAlign w:val="top"/>
          </w:tcPr>
          <w:p w14:paraId="3BA2C85E">
            <w:pPr>
              <w:spacing w:line="480" w:lineRule="atLeast"/>
              <w:rPr>
                <w:rFonts w:hint="default" w:ascii="宋体" w:eastAsia="宋体" w:cs="宋体"/>
                <w:color w:val="000000"/>
                <w:kern w:val="0"/>
                <w:sz w:val="24"/>
                <w:szCs w:val="24"/>
                <w:lang w:val="en-US" w:eastAsia="zh-CN"/>
              </w:rPr>
            </w:pPr>
            <w:r>
              <w:rPr>
                <w:rFonts w:hint="eastAsia" w:ascii="宋体" w:hAnsi="宋体" w:cs="宋体"/>
                <w:color w:val="000000"/>
                <w:kern w:val="0"/>
                <w:sz w:val="24"/>
                <w:szCs w:val="24"/>
                <w:lang w:eastAsia="zh-CN"/>
              </w:rPr>
              <w:t>2026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w:t>
            </w:r>
            <w:r>
              <w:rPr>
                <w:rFonts w:hint="eastAsia" w:ascii="宋体" w:hAnsi="宋体" w:cs="宋体"/>
                <w:color w:val="000000"/>
                <w:kern w:val="0"/>
                <w:sz w:val="24"/>
                <w:szCs w:val="24"/>
                <w:lang w:val="en-US" w:eastAsia="zh-CN"/>
              </w:rPr>
              <w:t>7</w:t>
            </w:r>
            <w:r>
              <w:rPr>
                <w:rFonts w:hint="eastAsia" w:ascii="宋体" w:hAnsi="宋体" w:eastAsia="宋体" w:cs="宋体"/>
                <w:color w:val="000000"/>
                <w:kern w:val="0"/>
                <w:sz w:val="24"/>
                <w:szCs w:val="24"/>
              </w:rPr>
              <w:t xml:space="preserve">日 </w:t>
            </w:r>
            <w:r>
              <w:rPr>
                <w:rFonts w:hint="eastAsia" w:ascii="宋体" w:hAnsi="宋体" w:eastAsia="宋体" w:cs="宋体"/>
                <w:color w:val="000000"/>
                <w:kern w:val="0"/>
                <w:sz w:val="24"/>
                <w:szCs w:val="24"/>
                <w:lang w:val="en-US" w:eastAsia="zh-CN"/>
              </w:rPr>
              <w:t>14:00~1</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lang w:val="en-US" w:eastAsia="zh-CN"/>
              </w:rPr>
              <w:t>:</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lang w:val="en-US" w:eastAsia="zh-CN"/>
              </w:rPr>
              <w:t>0</w:t>
            </w:r>
          </w:p>
        </w:tc>
      </w:tr>
      <w:tr w14:paraId="6DB9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14:paraId="0F1A7B6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color w:val="000000"/>
                <w:kern w:val="0"/>
                <w:sz w:val="24"/>
                <w:szCs w:val="24"/>
              </w:rPr>
            </w:pPr>
            <w:r>
              <w:rPr>
                <w:rFonts w:hint="eastAsia" w:ascii="宋体" w:hAnsi="宋体" w:cs="宋体"/>
                <w:color w:val="000000"/>
                <w:kern w:val="0"/>
                <w:sz w:val="24"/>
                <w:szCs w:val="24"/>
                <w:lang w:val="en-US" w:eastAsia="zh-CN"/>
              </w:rPr>
              <w:t>地点</w:t>
            </w:r>
          </w:p>
        </w:tc>
        <w:tc>
          <w:tcPr>
            <w:tcW w:w="7800" w:type="dxa"/>
            <w:gridSpan w:val="2"/>
            <w:tcBorders>
              <w:top w:val="single" w:color="auto" w:sz="4" w:space="0"/>
              <w:left w:val="single" w:color="auto" w:sz="4" w:space="0"/>
              <w:bottom w:val="single" w:color="auto" w:sz="4" w:space="0"/>
              <w:right w:val="single" w:color="auto" w:sz="4" w:space="0"/>
            </w:tcBorders>
            <w:vAlign w:val="top"/>
          </w:tcPr>
          <w:p w14:paraId="06DA6882">
            <w:pPr>
              <w:spacing w:line="480" w:lineRule="atLeast"/>
              <w:rPr>
                <w:rFonts w:hint="eastAsia" w:ascii="宋体" w:eastAsia="宋体"/>
                <w:color w:val="000000"/>
                <w:kern w:val="0"/>
                <w:sz w:val="24"/>
                <w:szCs w:val="24"/>
                <w:lang w:val="en-US" w:eastAsia="zh-CN"/>
              </w:rPr>
            </w:pPr>
            <w:r>
              <w:rPr>
                <w:rFonts w:hint="eastAsia" w:ascii="宋体" w:hAnsi="宋体" w:cs="宋体"/>
                <w:color w:val="000000"/>
                <w:kern w:val="0"/>
                <w:sz w:val="24"/>
                <w:szCs w:val="24"/>
                <w:lang w:eastAsia="zh-CN"/>
              </w:rPr>
              <w:t>中节能万润股份有限公司本部</w:t>
            </w:r>
            <w:r>
              <w:rPr>
                <w:rFonts w:hint="eastAsia" w:ascii="宋体" w:hAnsi="宋体" w:cs="宋体"/>
                <w:color w:val="000000"/>
                <w:kern w:val="0"/>
                <w:sz w:val="24"/>
                <w:szCs w:val="24"/>
                <w:lang w:val="en-US" w:eastAsia="zh-CN"/>
              </w:rPr>
              <w:t>会议室</w:t>
            </w:r>
          </w:p>
        </w:tc>
      </w:tr>
      <w:tr w14:paraId="1B69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14:paraId="48AAD20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形式</w:t>
            </w:r>
          </w:p>
        </w:tc>
        <w:tc>
          <w:tcPr>
            <w:tcW w:w="7800" w:type="dxa"/>
            <w:gridSpan w:val="2"/>
            <w:tcBorders>
              <w:top w:val="single" w:color="auto" w:sz="4" w:space="0"/>
              <w:left w:val="single" w:color="auto" w:sz="4" w:space="0"/>
              <w:bottom w:val="single" w:color="auto" w:sz="4" w:space="0"/>
              <w:right w:val="single" w:color="auto" w:sz="4" w:space="0"/>
            </w:tcBorders>
            <w:vAlign w:val="top"/>
          </w:tcPr>
          <w:p w14:paraId="4F286573">
            <w:pPr>
              <w:spacing w:line="480" w:lineRule="atLeast"/>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现场会议</w:t>
            </w:r>
          </w:p>
        </w:tc>
      </w:tr>
      <w:tr w14:paraId="7F6E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14:paraId="56E4F40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color w:val="000000"/>
                <w:kern w:val="0"/>
                <w:sz w:val="24"/>
                <w:szCs w:val="24"/>
              </w:rPr>
            </w:pPr>
            <w:r>
              <w:rPr>
                <w:rFonts w:hint="eastAsia" w:ascii="宋体" w:hAnsi="宋体" w:cs="宋体"/>
                <w:color w:val="000000"/>
                <w:kern w:val="0"/>
                <w:sz w:val="24"/>
                <w:szCs w:val="24"/>
                <w:lang w:val="en-US" w:eastAsia="zh-CN"/>
              </w:rPr>
              <w:t>上市公司接待人员姓名</w:t>
            </w:r>
          </w:p>
        </w:tc>
        <w:tc>
          <w:tcPr>
            <w:tcW w:w="7800" w:type="dxa"/>
            <w:gridSpan w:val="2"/>
            <w:tcBorders>
              <w:top w:val="single" w:color="auto" w:sz="4" w:space="0"/>
              <w:left w:val="single" w:color="auto" w:sz="4" w:space="0"/>
              <w:bottom w:val="single" w:color="auto" w:sz="4" w:space="0"/>
              <w:right w:val="single" w:color="auto" w:sz="4" w:space="0"/>
            </w:tcBorders>
            <w:vAlign w:val="top"/>
          </w:tcPr>
          <w:p w14:paraId="24ACB6E4">
            <w:pPr>
              <w:spacing w:line="480" w:lineRule="atLeast"/>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董事长：霍中和</w:t>
            </w:r>
          </w:p>
          <w:p w14:paraId="078A0513">
            <w:pPr>
              <w:spacing w:line="480" w:lineRule="atLeas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董事会秘书：于书敏</w:t>
            </w:r>
          </w:p>
          <w:p w14:paraId="03A0BD9C">
            <w:pPr>
              <w:spacing w:line="480" w:lineRule="atLeast"/>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证券事务代表：邹爱妮</w:t>
            </w:r>
          </w:p>
          <w:p w14:paraId="1B273022">
            <w:pPr>
              <w:spacing w:line="480" w:lineRule="atLeast"/>
              <w:rPr>
                <w:rFonts w:ascii="宋体" w:hAnsi="宋体" w:cs="宋体"/>
                <w:color w:val="000000"/>
                <w:kern w:val="0"/>
                <w:sz w:val="24"/>
                <w:szCs w:val="24"/>
              </w:rPr>
            </w:pPr>
            <w:r>
              <w:rPr>
                <w:rFonts w:hint="eastAsia" w:ascii="宋体" w:hAnsi="宋体" w:cs="宋体"/>
                <w:color w:val="000000"/>
                <w:kern w:val="0"/>
                <w:sz w:val="24"/>
                <w:szCs w:val="24"/>
                <w:lang w:val="en-US" w:eastAsia="zh-CN"/>
              </w:rPr>
              <w:t>证券部其他工作人员</w:t>
            </w:r>
          </w:p>
        </w:tc>
      </w:tr>
      <w:tr w14:paraId="4F28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14:paraId="56450DC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宋体" w:hAnsi="宋体"/>
                <w:color w:val="000000"/>
                <w:kern w:val="0"/>
                <w:sz w:val="24"/>
                <w:szCs w:val="24"/>
              </w:rPr>
            </w:pPr>
            <w:r>
              <w:rPr>
                <w:rFonts w:hint="eastAsia" w:ascii="宋体" w:hAnsi="宋体" w:cs="宋体"/>
                <w:color w:val="000000"/>
                <w:kern w:val="0"/>
                <w:sz w:val="24"/>
                <w:szCs w:val="24"/>
                <w:lang w:val="en-US" w:eastAsia="zh-CN"/>
              </w:rPr>
              <w:t>交流内容及具体问答记录</w:t>
            </w:r>
          </w:p>
        </w:tc>
        <w:tc>
          <w:tcPr>
            <w:tcW w:w="7800" w:type="dxa"/>
            <w:gridSpan w:val="2"/>
            <w:tcBorders>
              <w:top w:val="single" w:color="auto" w:sz="4" w:space="0"/>
              <w:left w:val="single" w:color="auto" w:sz="4" w:space="0"/>
              <w:bottom w:val="single" w:color="auto" w:sz="4" w:space="0"/>
              <w:right w:val="single" w:color="auto" w:sz="4" w:space="0"/>
            </w:tcBorders>
            <w:vAlign w:val="top"/>
          </w:tcPr>
          <w:p w14:paraId="50D59982">
            <w:pPr>
              <w:numPr>
                <w:ilvl w:val="0"/>
                <w:numId w:val="0"/>
              </w:numPr>
              <w:tabs>
                <w:tab w:val="left" w:pos="720"/>
              </w:tabs>
              <w:autoSpaceDE w:val="0"/>
              <w:autoSpaceDN w:val="0"/>
              <w:adjustRightInd w:val="0"/>
              <w:spacing w:before="157" w:beforeLines="50"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1、问：公司正在进行的回购与增持事项介绍。</w:t>
            </w:r>
          </w:p>
          <w:p w14:paraId="03E6BA4D">
            <w:pPr>
              <w:numPr>
                <w:ilvl w:val="0"/>
                <w:numId w:val="0"/>
              </w:numPr>
              <w:overflowPunct w:val="0"/>
              <w:autoSpaceDE w:val="0"/>
              <w:autoSpaceDN w:val="0"/>
              <w:adjustRightInd w:val="0"/>
              <w:spacing w:beforeLines="0" w:line="360" w:lineRule="auto"/>
              <w:ind w:firstLine="480" w:firstLineChars="200"/>
              <w:outlineLvl w:val="9"/>
              <w:rPr>
                <w:rFonts w:hint="eastAsia" w:ascii="宋体" w:hAnsi="宋体" w:eastAsia="宋体" w:cs="宋体"/>
                <w:color w:val="000000"/>
                <w:kern w:val="0"/>
                <w:sz w:val="24"/>
                <w:szCs w:val="21"/>
                <w:highlight w:val="none"/>
                <w:lang w:val="en-US" w:eastAsia="zh-CN"/>
              </w:rPr>
            </w:pPr>
            <w:r>
              <w:rPr>
                <w:rFonts w:hint="eastAsia" w:ascii="宋体" w:hAnsi="宋体" w:eastAsia="宋体" w:cs="宋体"/>
                <w:color w:val="000000"/>
                <w:kern w:val="0"/>
                <w:sz w:val="24"/>
                <w:highlight w:val="none"/>
                <w:lang w:val="en-US" w:eastAsia="zh-CN"/>
              </w:rPr>
              <w:t>答：公司控股股东</w:t>
            </w:r>
            <w:r>
              <w:rPr>
                <w:rFonts w:hint="eastAsia" w:ascii="宋体" w:hAnsi="宋体" w:eastAsia="宋体" w:cs="宋体"/>
                <w:color w:val="000000"/>
                <w:kern w:val="0"/>
                <w:sz w:val="24"/>
                <w:szCs w:val="21"/>
                <w:highlight w:val="none"/>
                <w:lang w:val="en-US" w:eastAsia="zh-CN"/>
              </w:rPr>
              <w:t>中国节能基于对公司未来发展前景的信心和对公司长期投资价值的认可，计划通过集中竞价的交易方式自2025年11月24日起6个月内（即2025年11月24日至2026年5月23日）实施增持，增持金额不低于人民币3.65亿元，不高于人民币7.30亿元，</w:t>
            </w:r>
            <w:r>
              <w:rPr>
                <w:rFonts w:hint="eastAsia" w:ascii="宋体" w:hAnsi="宋体" w:eastAsia="宋体" w:cs="宋体"/>
                <w:color w:val="000000"/>
                <w:kern w:val="0"/>
                <w:sz w:val="24"/>
                <w:highlight w:val="none"/>
                <w:lang w:val="en-US" w:eastAsia="zh-CN"/>
              </w:rPr>
              <w:t>现该增持计划正在实施中。截</w:t>
            </w:r>
            <w:r>
              <w:rPr>
                <w:rFonts w:hint="eastAsia" w:ascii="宋体" w:hAnsi="宋体" w:eastAsia="宋体" w:cs="宋体"/>
                <w:color w:val="000000"/>
                <w:kern w:val="0"/>
                <w:sz w:val="24"/>
                <w:szCs w:val="21"/>
                <w:highlight w:val="none"/>
                <w:lang w:val="en-US" w:eastAsia="zh-CN"/>
              </w:rPr>
              <w:t>至2026年3月19日中国节能本次已通过集中竞价方式累计增持公司股份</w:t>
            </w:r>
            <w:r>
              <w:rPr>
                <w:rFonts w:hint="eastAsia" w:ascii="宋体" w:hAnsi="宋体" w:eastAsia="宋体" w:cs="宋体"/>
                <w:b w:val="0"/>
                <w:bCs w:val="0"/>
                <w:color w:val="000000"/>
                <w:kern w:val="0"/>
                <w:sz w:val="24"/>
                <w:szCs w:val="21"/>
                <w:highlight w:val="none"/>
                <w:lang w:val="en-US" w:eastAsia="zh-CN"/>
              </w:rPr>
              <w:t>26</w:t>
            </w:r>
            <w:r>
              <w:rPr>
                <w:rFonts w:hint="eastAsia" w:ascii="宋体" w:hAnsi="宋体" w:eastAsia="宋体" w:cs="宋体"/>
                <w:color w:val="000000"/>
                <w:kern w:val="0"/>
                <w:sz w:val="24"/>
                <w:szCs w:val="21"/>
                <w:highlight w:val="none"/>
                <w:lang w:val="en-US" w:eastAsia="zh-CN"/>
              </w:rPr>
              <w:t>,</w:t>
            </w:r>
            <w:r>
              <w:rPr>
                <w:rFonts w:hint="eastAsia" w:ascii="宋体" w:hAnsi="宋体" w:eastAsia="宋体" w:cs="宋体"/>
                <w:b w:val="0"/>
                <w:bCs w:val="0"/>
                <w:color w:val="000000"/>
                <w:kern w:val="0"/>
                <w:sz w:val="24"/>
                <w:szCs w:val="21"/>
                <w:highlight w:val="none"/>
                <w:lang w:val="en-US" w:eastAsia="zh-CN"/>
              </w:rPr>
              <w:t>452</w:t>
            </w:r>
            <w:r>
              <w:rPr>
                <w:rFonts w:hint="eastAsia" w:ascii="宋体" w:hAnsi="宋体" w:eastAsia="宋体" w:cs="宋体"/>
                <w:color w:val="000000"/>
                <w:kern w:val="0"/>
                <w:sz w:val="24"/>
                <w:szCs w:val="21"/>
                <w:highlight w:val="none"/>
                <w:lang w:val="en-US" w:eastAsia="zh-CN"/>
              </w:rPr>
              <w:t>,</w:t>
            </w:r>
            <w:r>
              <w:rPr>
                <w:rFonts w:hint="eastAsia" w:ascii="宋体" w:hAnsi="宋体" w:eastAsia="宋体" w:cs="宋体"/>
                <w:b w:val="0"/>
                <w:bCs w:val="0"/>
                <w:color w:val="000000"/>
                <w:kern w:val="0"/>
                <w:sz w:val="24"/>
                <w:szCs w:val="21"/>
                <w:highlight w:val="none"/>
                <w:lang w:val="en-US" w:eastAsia="zh-CN"/>
              </w:rPr>
              <w:t>274</w:t>
            </w:r>
            <w:r>
              <w:rPr>
                <w:rFonts w:hint="eastAsia" w:ascii="宋体" w:hAnsi="宋体" w:eastAsia="宋体" w:cs="宋体"/>
                <w:color w:val="000000"/>
                <w:kern w:val="0"/>
                <w:sz w:val="24"/>
                <w:szCs w:val="21"/>
                <w:highlight w:val="none"/>
                <w:lang w:val="en-US" w:eastAsia="zh-CN"/>
              </w:rPr>
              <w:t>股，合计持有公司股份258,929,591股，占公司总股本的28.05%。</w:t>
            </w:r>
          </w:p>
          <w:p w14:paraId="57E97549">
            <w:pPr>
              <w:numPr>
                <w:ilvl w:val="0"/>
                <w:numId w:val="0"/>
              </w:numPr>
              <w:overflowPunct w:val="0"/>
              <w:autoSpaceDE w:val="0"/>
              <w:autoSpaceDN w:val="0"/>
              <w:adjustRightInd w:val="0"/>
              <w:spacing w:beforeLines="0" w:line="360" w:lineRule="auto"/>
              <w:ind w:firstLine="480" w:firstLineChars="200"/>
              <w:outlineLvl w:val="9"/>
              <w:rPr>
                <w:rFonts w:hint="eastAsia" w:ascii="宋体" w:hAnsi="宋体" w:eastAsia="宋体" w:cs="宋体"/>
                <w:lang w:val="en-US" w:eastAsia="zh-CN"/>
              </w:rPr>
            </w:pPr>
            <w:r>
              <w:rPr>
                <w:rFonts w:hint="eastAsia" w:ascii="宋体" w:hAnsi="宋体" w:eastAsia="宋体" w:cs="宋体"/>
                <w:color w:val="000000"/>
                <w:kern w:val="0"/>
                <w:sz w:val="24"/>
                <w:highlight w:val="none"/>
                <w:lang w:val="en-US" w:eastAsia="zh-CN"/>
              </w:rPr>
              <w:t>公司</w:t>
            </w:r>
            <w:r>
              <w:rPr>
                <w:rFonts w:hint="eastAsia" w:ascii="宋体" w:hAnsi="宋体" w:eastAsia="宋体" w:cs="宋体"/>
                <w:color w:val="000000"/>
                <w:kern w:val="0"/>
                <w:sz w:val="24"/>
                <w:szCs w:val="21"/>
                <w:highlight w:val="none"/>
                <w:lang w:val="en-US" w:eastAsia="zh-CN"/>
              </w:rPr>
              <w:t>为维护公司全体股东利益，增强投资者信心，计划通过集中竞价的交易方式自股东大会审议通过本次回购股份方案之日起12个月内（即2025年5月22日至2026年5月21日）实施</w:t>
            </w:r>
            <w:r>
              <w:rPr>
                <w:rFonts w:hint="eastAsia" w:ascii="宋体" w:hAnsi="宋体" w:eastAsia="宋体" w:cs="宋体"/>
                <w:sz w:val="24"/>
                <w:highlight w:val="none"/>
                <w:lang w:val="en-US" w:eastAsia="zh-CN"/>
              </w:rPr>
              <w:t>回购，回购金额不低于人民币1亿元，不超过人民币2亿元</w:t>
            </w:r>
            <w:r>
              <w:rPr>
                <w:rFonts w:hint="eastAsia" w:ascii="宋体" w:hAnsi="宋体" w:eastAsia="宋体" w:cs="宋体"/>
                <w:color w:val="000000"/>
                <w:kern w:val="0"/>
                <w:sz w:val="24"/>
                <w:szCs w:val="21"/>
                <w:highlight w:val="none"/>
                <w:lang w:val="en-US" w:eastAsia="zh-CN"/>
              </w:rPr>
              <w:t>，本次回购股份将用于减少注册资本，通过增厚每股收益，提升公司长期价值，</w:t>
            </w:r>
            <w:r>
              <w:rPr>
                <w:rFonts w:hint="eastAsia" w:ascii="宋体" w:hAnsi="宋体" w:eastAsia="宋体" w:cs="宋体"/>
                <w:color w:val="000000"/>
                <w:kern w:val="0"/>
                <w:sz w:val="24"/>
                <w:highlight w:val="none"/>
                <w:lang w:val="en-US" w:eastAsia="zh-CN"/>
              </w:rPr>
              <w:t>现该回购计划正在实施中</w:t>
            </w:r>
            <w:r>
              <w:rPr>
                <w:rFonts w:hint="eastAsia" w:ascii="宋体" w:hAnsi="宋体" w:eastAsia="宋体" w:cs="宋体"/>
                <w:color w:val="000000"/>
                <w:kern w:val="0"/>
                <w:sz w:val="24"/>
                <w:szCs w:val="21"/>
                <w:highlight w:val="none"/>
                <w:lang w:val="en-US" w:eastAsia="zh-CN"/>
              </w:rPr>
              <w:t>。</w:t>
            </w:r>
            <w:r>
              <w:rPr>
                <w:rFonts w:hint="eastAsia" w:ascii="宋体" w:hAnsi="宋体" w:eastAsia="宋体" w:cs="宋体"/>
                <w:sz w:val="24"/>
                <w:highlight w:val="none"/>
                <w:lang w:val="en-US" w:eastAsia="zh-CN"/>
              </w:rPr>
              <w:t>截至2026年3月31日，公司本次已通过集中竞价方式回购股份7,059,200股，占公司当前总股本的0.7648%，已使用资金总额为100,082,059.02元。</w:t>
            </w:r>
            <w:r>
              <w:rPr>
                <w:rFonts w:hint="eastAsia" w:ascii="宋体" w:hAnsi="宋体" w:eastAsia="宋体" w:cs="宋体"/>
                <w:kern w:val="2"/>
                <w:sz w:val="24"/>
                <w:szCs w:val="24"/>
                <w:highlight w:val="none"/>
                <w:lang w:val="en-US" w:eastAsia="zh-CN"/>
              </w:rPr>
              <w:t>公司后续会根据</w:t>
            </w:r>
            <w:r>
              <w:rPr>
                <w:rFonts w:hint="eastAsia" w:ascii="宋体" w:hAnsi="宋体" w:eastAsia="宋体" w:cs="宋体"/>
                <w:sz w:val="24"/>
                <w:szCs w:val="24"/>
                <w:highlight w:val="none"/>
                <w:lang w:val="en-US" w:eastAsia="zh-CN"/>
              </w:rPr>
              <w:t>增持与回购实施情况，及时按照规定披露相应进展公告。</w:t>
            </w:r>
          </w:p>
          <w:p w14:paraId="58FFB4F3">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p>
          <w:p w14:paraId="15A5F929">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2、问：公司在半导体制造材料领域的发展情况。</w:t>
            </w:r>
          </w:p>
          <w:p w14:paraId="4D033B0E">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答：公司</w:t>
            </w:r>
            <w:r>
              <w:rPr>
                <w:rFonts w:hint="eastAsia" w:ascii="宋体" w:hAnsi="宋体" w:eastAsia="宋体" w:cs="宋体"/>
                <w:kern w:val="0"/>
                <w:sz w:val="24"/>
                <w:szCs w:val="24"/>
                <w:lang w:val="en-US" w:eastAsia="zh-CN"/>
              </w:rPr>
              <w:t>在半导体制造材料领域的定位为半导体制造材料产业的坚实后盾，为下游半导体成品材料企业提供</w:t>
            </w:r>
            <w:r>
              <w:rPr>
                <w:rFonts w:hint="eastAsia" w:ascii="宋体" w:hAnsi="宋体" w:cs="宋体"/>
                <w:kern w:val="0"/>
                <w:sz w:val="24"/>
                <w:szCs w:val="24"/>
                <w:lang w:val="en-US" w:eastAsia="zh-CN"/>
              </w:rPr>
              <w:t>优质</w:t>
            </w:r>
            <w:r>
              <w:rPr>
                <w:rFonts w:hint="eastAsia" w:ascii="宋体" w:hAnsi="宋体" w:eastAsia="宋体" w:cs="宋体"/>
                <w:kern w:val="0"/>
                <w:sz w:val="24"/>
                <w:szCs w:val="24"/>
                <w:lang w:val="en-US" w:eastAsia="zh-CN"/>
              </w:rPr>
              <w:t>产品与服务，现</w:t>
            </w:r>
            <w:r>
              <w:rPr>
                <w:rFonts w:hint="eastAsia" w:ascii="宋体" w:hAnsi="宋体" w:eastAsia="宋体" w:cs="宋体"/>
                <w:sz w:val="24"/>
                <w:szCs w:val="24"/>
                <w:lang w:val="en-US" w:eastAsia="zh-CN"/>
              </w:rPr>
              <w:t>已销售的产品主要为</w:t>
            </w:r>
            <w:r>
              <w:rPr>
                <w:rFonts w:hint="eastAsia" w:ascii="宋体" w:hAnsi="宋体" w:eastAsia="宋体" w:cs="宋体"/>
                <w:kern w:val="0"/>
                <w:sz w:val="24"/>
                <w:szCs w:val="24"/>
                <w:lang w:val="en-US" w:eastAsia="zh-CN"/>
              </w:rPr>
              <w:t>光刻胶单体、树脂、光酸以及半导体制程中清洗剂添加材料等</w:t>
            </w:r>
            <w:r>
              <w:rPr>
                <w:rFonts w:hint="eastAsia" w:ascii="宋体" w:hAnsi="宋体" w:eastAsia="宋体" w:cs="宋体"/>
                <w:sz w:val="24"/>
                <w:szCs w:val="24"/>
                <w:lang w:val="en-US" w:eastAsia="zh-CN"/>
              </w:rPr>
              <w:t>。</w:t>
            </w:r>
            <w:r>
              <w:rPr>
                <w:rFonts w:hint="eastAsia" w:ascii="宋体" w:hAnsi="宋体" w:cs="宋体"/>
                <w:kern w:val="0"/>
                <w:sz w:val="24"/>
                <w:szCs w:val="24"/>
                <w:lang w:val="en-US" w:eastAsia="zh-CN"/>
              </w:rPr>
              <w:t>2025</w:t>
            </w:r>
            <w:r>
              <w:rPr>
                <w:rFonts w:hint="eastAsia" w:ascii="宋体" w:hAnsi="宋体" w:eastAsia="宋体" w:cs="宋体"/>
                <w:kern w:val="0"/>
                <w:sz w:val="24"/>
                <w:szCs w:val="24"/>
                <w:lang w:val="en-US" w:eastAsia="zh-CN"/>
              </w:rPr>
              <w:t>年</w:t>
            </w:r>
            <w:r>
              <w:rPr>
                <w:rFonts w:hint="eastAsia" w:ascii="宋体" w:hAnsi="宋体" w:cs="宋体"/>
                <w:kern w:val="0"/>
                <w:sz w:val="24"/>
                <w:szCs w:val="24"/>
                <w:lang w:val="en-US" w:eastAsia="zh-CN"/>
              </w:rPr>
              <w:t>度及2026</w:t>
            </w:r>
            <w:r>
              <w:rPr>
                <w:rFonts w:hint="eastAsia" w:ascii="宋体" w:hAnsi="宋体" w:eastAsia="宋体" w:cs="宋体"/>
                <w:kern w:val="0"/>
                <w:sz w:val="24"/>
                <w:szCs w:val="24"/>
                <w:lang w:val="en-US" w:eastAsia="zh-CN"/>
              </w:rPr>
              <w:t>年一季度公司半导体制造材料整体收入均呈现</w:t>
            </w:r>
            <w:r>
              <w:rPr>
                <w:rFonts w:hint="eastAsia" w:ascii="宋体" w:hAnsi="宋体" w:cs="宋体"/>
                <w:kern w:val="0"/>
                <w:sz w:val="24"/>
                <w:szCs w:val="24"/>
                <w:lang w:val="en-US" w:eastAsia="zh-CN"/>
              </w:rPr>
              <w:t>同比</w:t>
            </w:r>
            <w:r>
              <w:rPr>
                <w:rFonts w:hint="eastAsia" w:ascii="宋体" w:hAnsi="宋体" w:eastAsia="宋体" w:cs="宋体"/>
                <w:kern w:val="0"/>
                <w:sz w:val="24"/>
                <w:szCs w:val="24"/>
                <w:lang w:val="en-US" w:eastAsia="zh-CN"/>
              </w:rPr>
              <w:t>增长态势</w:t>
            </w:r>
            <w:r>
              <w:rPr>
                <w:rFonts w:hint="eastAsia" w:ascii="宋体" w:hAnsi="宋体" w:cs="宋体"/>
                <w:kern w:val="0"/>
                <w:sz w:val="24"/>
                <w:szCs w:val="24"/>
                <w:lang w:val="en-US" w:eastAsia="zh-CN"/>
              </w:rPr>
              <w:t>。</w:t>
            </w:r>
            <w:r>
              <w:rPr>
                <w:rFonts w:hint="eastAsia" w:ascii="宋体" w:hAnsi="宋体" w:cs="宋体"/>
                <w:b w:val="0"/>
                <w:bCs w:val="0"/>
                <w:sz w:val="24"/>
                <w:szCs w:val="24"/>
                <w:highlight w:val="none"/>
                <w:lang w:val="en-US" w:eastAsia="zh-CN"/>
              </w:rPr>
              <w:t>目前</w:t>
            </w:r>
            <w:r>
              <w:rPr>
                <w:rFonts w:hint="eastAsia" w:ascii="宋体" w:hAnsi="宋体" w:cs="宋体"/>
                <w:b w:val="0"/>
                <w:bCs w:val="0"/>
                <w:kern w:val="0"/>
                <w:sz w:val="24"/>
                <w:szCs w:val="24"/>
                <w:highlight w:val="none"/>
                <w:lang w:val="en-US" w:eastAsia="zh-CN"/>
              </w:rPr>
              <w:t>公司</w:t>
            </w:r>
            <w:r>
              <w:rPr>
                <w:rFonts w:hint="eastAsia" w:ascii="宋体" w:hAnsi="宋体" w:cs="宋体"/>
                <w:b w:val="0"/>
                <w:bCs w:val="0"/>
                <w:sz w:val="24"/>
                <w:szCs w:val="24"/>
                <w:highlight w:val="none"/>
                <w:lang w:val="en-US" w:eastAsia="zh-CN"/>
              </w:rPr>
              <w:t>在</w:t>
            </w:r>
            <w:r>
              <w:rPr>
                <w:rFonts w:hint="eastAsia" w:ascii="宋体" w:hAnsi="宋体" w:cs="宋体"/>
                <w:b w:val="0"/>
                <w:bCs w:val="0"/>
                <w:kern w:val="0"/>
                <w:sz w:val="24"/>
                <w:szCs w:val="24"/>
                <w:highlight w:val="none"/>
                <w:lang w:val="en-US" w:eastAsia="zh-CN"/>
              </w:rPr>
              <w:t>半导体制造材料领域，已开发了超300种化合物，</w:t>
            </w:r>
            <w:r>
              <w:rPr>
                <w:rFonts w:hint="eastAsia" w:ascii="宋体" w:hAnsi="宋体" w:cs="宋体"/>
                <w:b w:val="0"/>
                <w:bCs w:val="0"/>
                <w:kern w:val="0"/>
                <w:sz w:val="24"/>
                <w:szCs w:val="24"/>
                <w:lang w:val="en-US" w:eastAsia="zh-CN"/>
              </w:rPr>
              <w:t>在所涉足的产品方面技术已经处于国内领先水平</w:t>
            </w:r>
            <w:r>
              <w:rPr>
                <w:rFonts w:hint="eastAsia" w:ascii="宋体" w:hAnsi="宋体" w:cs="宋体"/>
                <w:kern w:val="0"/>
                <w:sz w:val="24"/>
                <w:szCs w:val="24"/>
                <w:lang w:val="en-US" w:eastAsia="zh-CN"/>
              </w:rPr>
              <w:t>。公司结合实际情况与下游客户需求，</w:t>
            </w:r>
            <w:r>
              <w:rPr>
                <w:rFonts w:hint="eastAsia" w:ascii="宋体" w:hAnsi="宋体" w:cs="宋体"/>
                <w:b w:val="0"/>
                <w:bCs w:val="0"/>
                <w:kern w:val="0"/>
                <w:sz w:val="24"/>
                <w:szCs w:val="24"/>
                <w:lang w:val="en-US" w:eastAsia="zh-CN"/>
              </w:rPr>
              <w:t>在新产能方面积极布局，2025年公司启动了</w:t>
            </w:r>
            <w:r>
              <w:rPr>
                <w:rFonts w:hint="eastAsia" w:ascii="宋体" w:hAnsi="宋体" w:eastAsia="宋体" w:cs="宋体"/>
                <w:sz w:val="24"/>
                <w:szCs w:val="24"/>
                <w:lang w:val="en-US" w:eastAsia="zh-CN"/>
              </w:rPr>
              <w:t>万润工业园二期C05建设项目，该项目包含半导体光刻胶用相关材料产能约751吨，主要产品包括光刻胶单体、光刻胶树脂、光致产酸剂及其他根据客户需求定制的相关半导体制造材料，该项目</w:t>
            </w:r>
            <w:r>
              <w:rPr>
                <w:rFonts w:hint="eastAsia" w:ascii="宋体" w:hAnsi="宋体" w:cs="宋体"/>
                <w:sz w:val="24"/>
                <w:szCs w:val="24"/>
                <w:lang w:val="en-US" w:eastAsia="zh-CN"/>
              </w:rPr>
              <w:t>争取</w:t>
            </w:r>
            <w:r>
              <w:rPr>
                <w:rFonts w:hint="eastAsia" w:ascii="宋体" w:hAnsi="宋体" w:eastAsia="宋体" w:cs="宋体"/>
                <w:sz w:val="24"/>
                <w:szCs w:val="24"/>
                <w:lang w:val="en-US" w:eastAsia="zh-CN"/>
              </w:rPr>
              <w:t>在</w:t>
            </w:r>
            <w:r>
              <w:rPr>
                <w:rFonts w:hint="eastAsia" w:ascii="宋体" w:hAnsi="宋体" w:cs="宋体"/>
                <w:sz w:val="24"/>
                <w:szCs w:val="24"/>
                <w:lang w:val="en-US" w:eastAsia="zh-CN"/>
              </w:rPr>
              <w:t>2026年底左右</w:t>
            </w:r>
            <w:r>
              <w:rPr>
                <w:rFonts w:hint="eastAsia" w:ascii="宋体" w:hAnsi="宋体" w:eastAsia="宋体" w:cs="宋体"/>
                <w:sz w:val="24"/>
                <w:szCs w:val="24"/>
                <w:lang w:val="en-US" w:eastAsia="zh-CN"/>
              </w:rPr>
              <w:t>完成建设。</w:t>
            </w:r>
          </w:p>
          <w:p w14:paraId="73E6931B">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p>
          <w:p w14:paraId="337B0A58">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3、问：公司OLED材料2025年及2026年一季度的发展态势？</w:t>
            </w:r>
          </w:p>
          <w:p w14:paraId="07615981">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答：</w:t>
            </w:r>
            <w:r>
              <w:rPr>
                <w:rFonts w:hint="eastAsia" w:ascii="宋体" w:hAnsi="宋体" w:eastAsia="宋体" w:cs="宋体"/>
                <w:kern w:val="0"/>
                <w:sz w:val="24"/>
                <w:szCs w:val="24"/>
                <w:lang w:val="en-US" w:eastAsia="zh-CN"/>
              </w:rPr>
              <w:t>公司OLED材料主要包括OLED升华前材料</w:t>
            </w:r>
            <w:r>
              <w:rPr>
                <w:rFonts w:hint="eastAsia" w:ascii="宋体" w:hAnsi="宋体" w:cs="宋体"/>
                <w:kern w:val="0"/>
                <w:sz w:val="24"/>
                <w:szCs w:val="24"/>
                <w:lang w:val="en-US" w:eastAsia="zh-CN"/>
              </w:rPr>
              <w:t>与</w:t>
            </w:r>
            <w:r>
              <w:rPr>
                <w:rFonts w:hint="eastAsia" w:ascii="宋体" w:hAnsi="宋体" w:eastAsia="宋体" w:cs="宋体"/>
                <w:kern w:val="0"/>
                <w:sz w:val="24"/>
                <w:szCs w:val="24"/>
                <w:lang w:val="en-US" w:eastAsia="zh-CN"/>
              </w:rPr>
              <w:t>OLED成品材料</w:t>
            </w:r>
            <w:r>
              <w:rPr>
                <w:rFonts w:hint="eastAsia" w:ascii="宋体" w:hAnsi="宋体" w:cs="宋体"/>
                <w:kern w:val="0"/>
                <w:sz w:val="24"/>
                <w:szCs w:val="24"/>
                <w:lang w:val="en-US" w:eastAsia="zh-CN"/>
              </w:rPr>
              <w:t>，2025年度OLED</w:t>
            </w:r>
            <w:r>
              <w:rPr>
                <w:rFonts w:hint="eastAsia" w:ascii="宋体" w:hAnsi="宋体" w:eastAsia="宋体" w:cs="宋体"/>
                <w:kern w:val="0"/>
                <w:sz w:val="24"/>
                <w:szCs w:val="24"/>
                <w:lang w:val="en-US" w:eastAsia="zh-CN"/>
              </w:rPr>
              <w:t>成品材料收入保持</w:t>
            </w:r>
            <w:r>
              <w:rPr>
                <w:rFonts w:hint="eastAsia" w:ascii="宋体" w:hAnsi="宋体" w:cs="宋体"/>
                <w:kern w:val="0"/>
                <w:sz w:val="24"/>
                <w:szCs w:val="24"/>
                <w:lang w:val="en-US" w:eastAsia="zh-CN"/>
              </w:rPr>
              <w:t>同比</w:t>
            </w:r>
            <w:r>
              <w:rPr>
                <w:rFonts w:hint="eastAsia" w:ascii="宋体" w:hAnsi="宋体" w:eastAsia="宋体" w:cs="宋体"/>
                <w:kern w:val="0"/>
                <w:sz w:val="24"/>
                <w:szCs w:val="24"/>
                <w:lang w:val="en-US" w:eastAsia="zh-CN"/>
              </w:rPr>
              <w:t>增长态势，</w:t>
            </w:r>
            <w:r>
              <w:rPr>
                <w:rFonts w:hint="eastAsia" w:ascii="宋体" w:hAnsi="宋体" w:cs="宋体"/>
                <w:kern w:val="0"/>
                <w:sz w:val="24"/>
                <w:szCs w:val="24"/>
                <w:lang w:val="en-US" w:eastAsia="zh-CN"/>
              </w:rPr>
              <w:t>OLED</w:t>
            </w:r>
            <w:r>
              <w:rPr>
                <w:rFonts w:hint="eastAsia" w:ascii="宋体" w:hAnsi="宋体" w:eastAsia="宋体" w:cs="宋体"/>
                <w:kern w:val="0"/>
                <w:sz w:val="24"/>
                <w:szCs w:val="24"/>
                <w:lang w:val="en-US" w:eastAsia="zh-CN"/>
              </w:rPr>
              <w:t>升华前材料收入同比有所下降。</w:t>
            </w:r>
            <w:r>
              <w:rPr>
                <w:rFonts w:hint="eastAsia" w:ascii="宋体" w:hAnsi="宋体" w:cs="宋体"/>
                <w:kern w:val="0"/>
                <w:sz w:val="24"/>
                <w:szCs w:val="24"/>
                <w:lang w:val="en-US" w:eastAsia="zh-CN"/>
              </w:rPr>
              <w:t>2026</w:t>
            </w:r>
            <w:r>
              <w:rPr>
                <w:rFonts w:hint="eastAsia" w:ascii="宋体" w:hAnsi="宋体" w:eastAsia="宋体" w:cs="宋体"/>
                <w:kern w:val="0"/>
                <w:sz w:val="24"/>
                <w:szCs w:val="24"/>
                <w:lang w:val="en-US" w:eastAsia="zh-CN"/>
              </w:rPr>
              <w:t>年一季度</w:t>
            </w:r>
            <w:r>
              <w:rPr>
                <w:rFonts w:hint="eastAsia" w:ascii="宋体" w:hAnsi="宋体" w:cs="宋体"/>
                <w:kern w:val="0"/>
                <w:sz w:val="24"/>
                <w:szCs w:val="24"/>
                <w:lang w:val="en-US" w:eastAsia="zh-CN"/>
              </w:rPr>
              <w:t>OLED</w:t>
            </w:r>
            <w:r>
              <w:rPr>
                <w:rFonts w:hint="eastAsia" w:ascii="宋体" w:hAnsi="宋体" w:eastAsia="宋体" w:cs="宋体"/>
                <w:kern w:val="0"/>
                <w:sz w:val="24"/>
                <w:szCs w:val="24"/>
                <w:lang w:val="en-US" w:eastAsia="zh-CN"/>
              </w:rPr>
              <w:t>成品材料</w:t>
            </w:r>
            <w:r>
              <w:rPr>
                <w:rFonts w:hint="eastAsia" w:ascii="宋体" w:hAnsi="宋体" w:cs="宋体"/>
                <w:kern w:val="0"/>
                <w:sz w:val="24"/>
                <w:szCs w:val="24"/>
                <w:lang w:val="en-US" w:eastAsia="zh-CN"/>
              </w:rPr>
              <w:t>与OLED</w:t>
            </w:r>
            <w:r>
              <w:rPr>
                <w:rFonts w:hint="eastAsia" w:ascii="宋体" w:hAnsi="宋体" w:eastAsia="宋体" w:cs="宋体"/>
                <w:kern w:val="0"/>
                <w:sz w:val="24"/>
                <w:szCs w:val="24"/>
                <w:lang w:val="en-US" w:eastAsia="zh-CN"/>
              </w:rPr>
              <w:t>升华前材料</w:t>
            </w:r>
            <w:r>
              <w:rPr>
                <w:rFonts w:hint="eastAsia" w:ascii="宋体" w:hAnsi="宋体" w:cs="宋体"/>
                <w:kern w:val="0"/>
                <w:sz w:val="24"/>
                <w:szCs w:val="24"/>
                <w:lang w:val="en-US" w:eastAsia="zh-CN"/>
              </w:rPr>
              <w:t>收入均</w:t>
            </w:r>
            <w:r>
              <w:rPr>
                <w:rFonts w:hint="eastAsia" w:ascii="宋体" w:hAnsi="宋体" w:eastAsia="宋体" w:cs="宋体"/>
                <w:kern w:val="0"/>
                <w:sz w:val="24"/>
                <w:szCs w:val="24"/>
                <w:lang w:val="en-US" w:eastAsia="zh-CN"/>
              </w:rPr>
              <w:t>呈</w:t>
            </w:r>
            <w:r>
              <w:rPr>
                <w:rFonts w:hint="eastAsia" w:ascii="宋体" w:hAnsi="宋体" w:cs="宋体"/>
                <w:kern w:val="0"/>
                <w:sz w:val="24"/>
                <w:szCs w:val="24"/>
                <w:lang w:val="en-US" w:eastAsia="zh-CN"/>
              </w:rPr>
              <w:t>现同比</w:t>
            </w:r>
            <w:r>
              <w:rPr>
                <w:rFonts w:hint="eastAsia" w:ascii="宋体" w:hAnsi="宋体" w:eastAsia="宋体" w:cs="宋体"/>
                <w:kern w:val="0"/>
                <w:sz w:val="24"/>
                <w:szCs w:val="24"/>
                <w:lang w:val="en-US" w:eastAsia="zh-CN"/>
              </w:rPr>
              <w:t>增长态势</w:t>
            </w:r>
            <w:r>
              <w:rPr>
                <w:rFonts w:hint="eastAsia" w:ascii="宋体" w:hAnsi="宋体" w:cs="宋体"/>
                <w:kern w:val="0"/>
                <w:sz w:val="24"/>
                <w:szCs w:val="24"/>
                <w:lang w:val="en-US" w:eastAsia="zh-CN"/>
              </w:rPr>
              <w:t>。</w:t>
            </w:r>
          </w:p>
          <w:p w14:paraId="3AAF206B">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2025</w:t>
            </w:r>
            <w:r>
              <w:rPr>
                <w:rFonts w:hint="eastAsia" w:ascii="宋体" w:hAnsi="宋体" w:eastAsia="宋体" w:cs="宋体"/>
                <w:kern w:val="0"/>
                <w:sz w:val="24"/>
                <w:szCs w:val="24"/>
                <w:lang w:val="en-US" w:eastAsia="zh-CN"/>
              </w:rPr>
              <w:t>年度公司控股子</w:t>
            </w:r>
            <w:r>
              <w:rPr>
                <w:rFonts w:hint="eastAsia" w:ascii="宋体" w:hAnsi="宋体" w:cs="宋体"/>
                <w:kern w:val="0"/>
                <w:sz w:val="24"/>
                <w:szCs w:val="24"/>
                <w:lang w:val="en-US" w:eastAsia="zh-CN"/>
              </w:rPr>
              <w:t>公司</w:t>
            </w:r>
            <w:bookmarkStart w:id="0" w:name="_GoBack"/>
            <w:bookmarkEnd w:id="0"/>
            <w:r>
              <w:rPr>
                <w:rFonts w:hint="eastAsia" w:ascii="宋体" w:hAnsi="宋体" w:eastAsia="宋体" w:cs="宋体"/>
                <w:kern w:val="0"/>
                <w:sz w:val="24"/>
                <w:szCs w:val="24"/>
                <w:lang w:val="en-US" w:eastAsia="zh-CN"/>
              </w:rPr>
              <w:t>三月科技的收入主要来源于OLED成品材料和显示用PI成品材料，随着其成品材料</w:t>
            </w:r>
            <w:r>
              <w:rPr>
                <w:rFonts w:hint="eastAsia" w:ascii="宋体" w:hAnsi="宋体" w:cs="宋体"/>
                <w:kern w:val="0"/>
                <w:sz w:val="24"/>
                <w:szCs w:val="24"/>
                <w:lang w:val="en-US" w:eastAsia="zh-CN"/>
              </w:rPr>
              <w:t>的持续开发与市场推广</w:t>
            </w:r>
            <w:r>
              <w:rPr>
                <w:rFonts w:hint="eastAsia" w:ascii="宋体" w:hAnsi="宋体" w:eastAsia="宋体" w:cs="宋体"/>
                <w:kern w:val="0"/>
                <w:sz w:val="24"/>
                <w:szCs w:val="24"/>
                <w:lang w:val="en-US" w:eastAsia="zh-CN"/>
              </w:rPr>
              <w:t>，三月科技</w:t>
            </w:r>
            <w:r>
              <w:rPr>
                <w:rFonts w:hint="eastAsia" w:ascii="宋体" w:hAnsi="宋体" w:cs="宋体"/>
                <w:kern w:val="0"/>
                <w:sz w:val="24"/>
                <w:szCs w:val="24"/>
                <w:lang w:val="en-US" w:eastAsia="zh-CN"/>
              </w:rPr>
              <w:t>收入再创新高，2025</w:t>
            </w:r>
            <w:r>
              <w:rPr>
                <w:rFonts w:hint="eastAsia" w:ascii="宋体" w:hAnsi="宋体" w:eastAsia="宋体" w:cs="宋体"/>
                <w:kern w:val="0"/>
                <w:sz w:val="24"/>
                <w:szCs w:val="24"/>
                <w:lang w:val="en-US" w:eastAsia="zh-CN"/>
              </w:rPr>
              <w:t>年度收入</w:t>
            </w:r>
            <w:r>
              <w:rPr>
                <w:rFonts w:hint="eastAsia" w:ascii="宋体" w:hAnsi="宋体" w:cs="宋体"/>
                <w:kern w:val="0"/>
                <w:sz w:val="24"/>
                <w:szCs w:val="24"/>
                <w:lang w:val="en-US" w:eastAsia="zh-CN"/>
              </w:rPr>
              <w:t>较比上年增长约51.84%，</w:t>
            </w:r>
            <w:r>
              <w:rPr>
                <w:rFonts w:hint="eastAsia" w:ascii="宋体" w:hAnsi="宋体" w:eastAsia="宋体" w:cs="宋体"/>
                <w:kern w:val="0"/>
                <w:sz w:val="24"/>
                <w:szCs w:val="24"/>
                <w:lang w:val="en-US" w:eastAsia="zh-CN"/>
              </w:rPr>
              <w:t>增至约</w:t>
            </w:r>
            <w:r>
              <w:rPr>
                <w:rFonts w:hint="eastAsia" w:ascii="宋体" w:hAnsi="宋体" w:cs="宋体"/>
                <w:kern w:val="0"/>
                <w:sz w:val="24"/>
                <w:szCs w:val="24"/>
                <w:lang w:val="en-US" w:eastAsia="zh-CN"/>
              </w:rPr>
              <w:t>2.18</w:t>
            </w:r>
            <w:r>
              <w:rPr>
                <w:rFonts w:hint="eastAsia" w:ascii="宋体" w:hAnsi="宋体" w:eastAsia="宋体" w:cs="宋体"/>
                <w:kern w:val="0"/>
                <w:sz w:val="24"/>
                <w:szCs w:val="24"/>
                <w:lang w:val="en-US" w:eastAsia="zh-CN"/>
              </w:rPr>
              <w:t>亿元</w:t>
            </w:r>
            <w:r>
              <w:rPr>
                <w:rFonts w:hint="eastAsia" w:ascii="宋体" w:hAnsi="宋体" w:cs="宋体"/>
                <w:kern w:val="0"/>
                <w:sz w:val="24"/>
                <w:szCs w:val="24"/>
                <w:lang w:val="en-US" w:eastAsia="zh-CN"/>
              </w:rPr>
              <w:t>，并实现盈利</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2025</w:t>
            </w:r>
            <w:r>
              <w:rPr>
                <w:rFonts w:hint="eastAsia" w:ascii="宋体" w:hAnsi="宋体" w:eastAsia="宋体" w:cs="宋体"/>
                <w:kern w:val="0"/>
                <w:sz w:val="24"/>
                <w:szCs w:val="24"/>
                <w:lang w:val="en-US" w:eastAsia="zh-CN"/>
              </w:rPr>
              <w:t>年度公司控股子公司九目化学的收入主要来源于OLED升华前材料，</w:t>
            </w:r>
            <w:r>
              <w:rPr>
                <w:rFonts w:hint="eastAsia" w:ascii="宋体" w:hAnsi="宋体" w:cs="宋体"/>
                <w:kern w:val="0"/>
                <w:sz w:val="24"/>
                <w:szCs w:val="24"/>
                <w:lang w:val="en-US" w:eastAsia="zh-CN"/>
              </w:rPr>
              <w:t>受下游客户采购策略和采购节奏对当期订单的影响，</w:t>
            </w:r>
            <w:r>
              <w:rPr>
                <w:rFonts w:hint="eastAsia" w:ascii="宋体" w:hAnsi="宋体" w:eastAsia="宋体" w:cs="宋体"/>
                <w:kern w:val="0"/>
                <w:sz w:val="24"/>
                <w:szCs w:val="24"/>
                <w:lang w:val="en-US" w:eastAsia="zh-CN"/>
              </w:rPr>
              <w:t>九目化学</w:t>
            </w:r>
            <w:r>
              <w:rPr>
                <w:rFonts w:hint="eastAsia" w:ascii="宋体" w:hAnsi="宋体" w:cs="宋体"/>
                <w:kern w:val="0"/>
                <w:sz w:val="24"/>
                <w:szCs w:val="24"/>
                <w:lang w:val="en-US" w:eastAsia="zh-CN"/>
              </w:rPr>
              <w:t>2025</w:t>
            </w:r>
            <w:r>
              <w:rPr>
                <w:rFonts w:hint="eastAsia" w:ascii="宋体" w:hAnsi="宋体" w:eastAsia="宋体" w:cs="宋体"/>
                <w:kern w:val="0"/>
                <w:sz w:val="24"/>
                <w:szCs w:val="24"/>
                <w:lang w:val="en-US" w:eastAsia="zh-CN"/>
              </w:rPr>
              <w:t>年度收入约</w:t>
            </w:r>
            <w:r>
              <w:rPr>
                <w:rFonts w:hint="eastAsia" w:ascii="宋体" w:hAnsi="宋体" w:cs="宋体"/>
                <w:kern w:val="0"/>
                <w:sz w:val="24"/>
                <w:szCs w:val="24"/>
                <w:lang w:val="en-US" w:eastAsia="zh-CN"/>
              </w:rPr>
              <w:t>7.84</w:t>
            </w:r>
            <w:r>
              <w:rPr>
                <w:rFonts w:hint="eastAsia" w:ascii="宋体" w:hAnsi="宋体" w:eastAsia="宋体" w:cs="宋体"/>
                <w:kern w:val="0"/>
                <w:sz w:val="24"/>
                <w:szCs w:val="24"/>
                <w:lang w:val="en-US" w:eastAsia="zh-CN"/>
              </w:rPr>
              <w:t>亿元</w:t>
            </w:r>
            <w:r>
              <w:rPr>
                <w:rFonts w:hint="eastAsia" w:ascii="宋体" w:hAnsi="宋体" w:cs="宋体"/>
                <w:kern w:val="0"/>
                <w:sz w:val="24"/>
                <w:szCs w:val="24"/>
                <w:lang w:val="en-US" w:eastAsia="zh-CN"/>
              </w:rPr>
              <w:t>，较比上年下降约18.50%。</w:t>
            </w:r>
          </w:p>
          <w:p w14:paraId="45E91442">
            <w:pPr>
              <w:numPr>
                <w:ilvl w:val="0"/>
                <w:numId w:val="0"/>
              </w:numPr>
              <w:tabs>
                <w:tab w:val="left" w:pos="720"/>
              </w:tabs>
              <w:autoSpaceDE w:val="0"/>
              <w:autoSpaceDN w:val="0"/>
              <w:adjustRightInd w:val="0"/>
              <w:spacing w:line="360" w:lineRule="auto"/>
              <w:ind w:firstLine="480" w:firstLineChars="200"/>
              <w:rPr>
                <w:rFonts w:hint="eastAsia" w:eastAsia="宋体"/>
                <w:lang w:val="en-US" w:eastAsia="zh-CN"/>
              </w:rPr>
            </w:pPr>
            <w:r>
              <w:rPr>
                <w:rFonts w:hint="eastAsia" w:ascii="宋体" w:hAnsi="宋体" w:eastAsia="宋体" w:cs="宋体"/>
                <w:kern w:val="0"/>
                <w:sz w:val="24"/>
                <w:szCs w:val="24"/>
                <w:lang w:val="en-US" w:eastAsia="zh-CN"/>
              </w:rPr>
              <w:t>九目化学与三月科技基于对</w:t>
            </w:r>
            <w:r>
              <w:rPr>
                <w:rFonts w:hint="eastAsia" w:ascii="宋体" w:hAnsi="宋体" w:cs="宋体"/>
                <w:kern w:val="0"/>
                <w:sz w:val="24"/>
                <w:szCs w:val="24"/>
                <w:lang w:val="en-US" w:eastAsia="zh-CN"/>
              </w:rPr>
              <w:t>OLED</w:t>
            </w:r>
            <w:r>
              <w:rPr>
                <w:rFonts w:hint="eastAsia" w:ascii="宋体" w:hAnsi="宋体" w:eastAsia="宋体" w:cs="宋体"/>
                <w:kern w:val="0"/>
                <w:sz w:val="24"/>
                <w:szCs w:val="24"/>
                <w:lang w:val="en-US" w:eastAsia="zh-CN"/>
              </w:rPr>
              <w:t>行业</w:t>
            </w:r>
            <w:r>
              <w:rPr>
                <w:rFonts w:hint="eastAsia" w:ascii="宋体" w:hAnsi="宋体" w:cs="宋体"/>
                <w:kern w:val="0"/>
                <w:sz w:val="24"/>
                <w:szCs w:val="24"/>
                <w:lang w:val="en-US" w:eastAsia="zh-CN"/>
              </w:rPr>
              <w:t>未来</w:t>
            </w:r>
            <w:r>
              <w:rPr>
                <w:rFonts w:hint="eastAsia" w:ascii="宋体" w:hAnsi="宋体" w:eastAsia="宋体" w:cs="宋体"/>
                <w:kern w:val="0"/>
                <w:sz w:val="24"/>
                <w:szCs w:val="24"/>
                <w:lang w:val="en-US" w:eastAsia="zh-CN"/>
              </w:rPr>
              <w:t>发展的信心，均有相应</w:t>
            </w:r>
            <w:r>
              <w:rPr>
                <w:rFonts w:hint="eastAsia" w:ascii="宋体" w:hAnsi="宋体" w:cs="宋体"/>
                <w:kern w:val="0"/>
                <w:sz w:val="24"/>
                <w:szCs w:val="24"/>
                <w:lang w:val="en-US" w:eastAsia="zh-CN"/>
              </w:rPr>
              <w:t>建设项</w:t>
            </w:r>
            <w:r>
              <w:rPr>
                <w:rFonts w:hint="eastAsia" w:ascii="宋体" w:hAnsi="宋体" w:eastAsia="宋体" w:cs="宋体"/>
                <w:kern w:val="0"/>
                <w:sz w:val="24"/>
                <w:szCs w:val="24"/>
                <w:lang w:val="en-US" w:eastAsia="zh-CN"/>
              </w:rPr>
              <w:t>目</w:t>
            </w:r>
            <w:r>
              <w:rPr>
                <w:rFonts w:hint="eastAsia" w:ascii="宋体" w:hAnsi="宋体" w:cs="宋体"/>
                <w:kern w:val="0"/>
                <w:sz w:val="24"/>
                <w:szCs w:val="24"/>
                <w:lang w:val="en-US" w:eastAsia="zh-CN"/>
              </w:rPr>
              <w:t>在积极</w:t>
            </w:r>
            <w:r>
              <w:rPr>
                <w:rFonts w:hint="eastAsia" w:ascii="宋体" w:hAnsi="宋体" w:eastAsia="宋体" w:cs="宋体"/>
                <w:kern w:val="0"/>
                <w:sz w:val="24"/>
                <w:szCs w:val="24"/>
                <w:lang w:val="en-US" w:eastAsia="zh-CN"/>
              </w:rPr>
              <w:t>推进，包括</w:t>
            </w:r>
            <w:r>
              <w:rPr>
                <w:rFonts w:hint="eastAsia" w:ascii="宋体" w:hAnsi="宋体" w:eastAsia="宋体" w:cs="宋体"/>
                <w:kern w:val="0"/>
                <w:sz w:val="24"/>
                <w:szCs w:val="24"/>
              </w:rPr>
              <w:t>三月科技综合技术研发中心暨新型光电材料高端生产基地项目</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九目化学生产基地A04项目</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A05项目等。</w:t>
            </w:r>
          </w:p>
          <w:p w14:paraId="40D68FDF">
            <w:pPr>
              <w:pStyle w:val="2"/>
              <w:rPr>
                <w:rFonts w:hint="eastAsia" w:ascii="宋体" w:hAnsi="宋体" w:eastAsia="宋体" w:cs="宋体"/>
                <w:kern w:val="0"/>
                <w:sz w:val="24"/>
                <w:szCs w:val="24"/>
                <w:lang w:val="en-US" w:eastAsia="zh-CN"/>
              </w:rPr>
            </w:pPr>
          </w:p>
          <w:p w14:paraId="5FA417BD">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4、问：公司在高性能聚合物材料领域的发展情况及产能建设情况。</w:t>
            </w:r>
          </w:p>
          <w:p w14:paraId="65D2585A">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i w:val="0"/>
                <w:caps w:val="0"/>
                <w:spacing w:val="0"/>
                <w:sz w:val="24"/>
                <w:szCs w:val="24"/>
              </w:rPr>
            </w:pPr>
            <w:r>
              <w:rPr>
                <w:rFonts w:hint="eastAsia" w:ascii="宋体" w:hAnsi="宋体" w:eastAsia="宋体" w:cs="宋体"/>
                <w:sz w:val="24"/>
                <w:szCs w:val="24"/>
                <w:lang w:val="en-US" w:eastAsia="zh-CN"/>
              </w:rPr>
              <w:t>答：</w:t>
            </w:r>
            <w:r>
              <w:rPr>
                <w:rFonts w:hint="eastAsia" w:ascii="宋体" w:hAnsi="宋体" w:eastAsia="宋体" w:cs="宋体"/>
                <w:i w:val="0"/>
                <w:caps w:val="0"/>
                <w:spacing w:val="0"/>
                <w:sz w:val="24"/>
                <w:szCs w:val="24"/>
              </w:rPr>
              <w:t>公司开发的高性能聚合物产品包括聚酰亚胺</w:t>
            </w:r>
            <w:r>
              <w:rPr>
                <w:rFonts w:hint="eastAsia" w:ascii="宋体" w:hAnsi="宋体" w:cs="宋体"/>
                <w:i w:val="0"/>
                <w:caps w:val="0"/>
                <w:spacing w:val="0"/>
                <w:sz w:val="24"/>
                <w:szCs w:val="24"/>
                <w:lang w:val="en-US" w:eastAsia="zh-CN"/>
              </w:rPr>
              <w:t>类</w:t>
            </w:r>
            <w:r>
              <w:rPr>
                <w:rFonts w:hint="eastAsia" w:ascii="宋体" w:hAnsi="宋体" w:eastAsia="宋体" w:cs="宋体"/>
                <w:i w:val="0"/>
                <w:caps w:val="0"/>
                <w:spacing w:val="0"/>
                <w:sz w:val="24"/>
                <w:szCs w:val="24"/>
              </w:rPr>
              <w:t>产品PEI、TPI、PI-5218、聚醚醚酮（PEEK）以及高温尼龙（PA46）五类。</w:t>
            </w:r>
            <w:r>
              <w:rPr>
                <w:rFonts w:hint="eastAsia" w:ascii="宋体" w:hAnsi="宋体" w:cs="宋体"/>
                <w:i w:val="0"/>
                <w:caps w:val="0"/>
                <w:spacing w:val="0"/>
                <w:sz w:val="24"/>
                <w:szCs w:val="24"/>
                <w:shd w:val="clear"/>
              </w:rPr>
              <w:t>下游主要客户为挤出</w:t>
            </w:r>
            <w:r>
              <w:rPr>
                <w:rFonts w:hint="eastAsia" w:ascii="宋体" w:hAnsi="宋体" w:cs="宋体"/>
                <w:i w:val="0"/>
                <w:caps w:val="0"/>
                <w:spacing w:val="0"/>
                <w:sz w:val="24"/>
                <w:szCs w:val="24"/>
                <w:shd w:val="clear"/>
                <w:lang w:eastAsia="zh-CN"/>
              </w:rPr>
              <w:t>、</w:t>
            </w:r>
            <w:r>
              <w:rPr>
                <w:rFonts w:hint="eastAsia" w:ascii="宋体" w:hAnsi="宋体" w:cs="宋体"/>
                <w:i w:val="0"/>
                <w:caps w:val="0"/>
                <w:spacing w:val="0"/>
                <w:sz w:val="24"/>
                <w:szCs w:val="24"/>
                <w:shd w:val="clear"/>
              </w:rPr>
              <w:t>注塑</w:t>
            </w:r>
            <w:r>
              <w:rPr>
                <w:rFonts w:hint="eastAsia" w:ascii="宋体" w:hAnsi="宋体" w:cs="宋体"/>
                <w:i w:val="0"/>
                <w:caps w:val="0"/>
                <w:spacing w:val="0"/>
                <w:sz w:val="24"/>
                <w:szCs w:val="24"/>
                <w:shd w:val="clear"/>
                <w:lang w:eastAsia="zh-CN"/>
              </w:rPr>
              <w:t>、</w:t>
            </w:r>
            <w:r>
              <w:rPr>
                <w:rFonts w:hint="eastAsia" w:ascii="宋体" w:hAnsi="宋体" w:cs="宋体"/>
                <w:i w:val="0"/>
                <w:caps w:val="0"/>
                <w:spacing w:val="0"/>
                <w:sz w:val="24"/>
                <w:szCs w:val="24"/>
                <w:shd w:val="clear"/>
              </w:rPr>
              <w:t>改性等类型企业。</w:t>
            </w:r>
          </w:p>
          <w:p w14:paraId="3BF18023">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i w:val="0"/>
                <w:caps w:val="0"/>
                <w:spacing w:val="0"/>
                <w:sz w:val="24"/>
                <w:szCs w:val="24"/>
                <w:lang w:val="en-US"/>
              </w:rPr>
            </w:pPr>
            <w:r>
              <w:rPr>
                <w:rFonts w:hint="eastAsia" w:ascii="宋体" w:hAnsi="宋体" w:eastAsia="宋体" w:cs="宋体"/>
                <w:i w:val="0"/>
                <w:caps w:val="0"/>
                <w:spacing w:val="0"/>
                <w:sz w:val="24"/>
                <w:szCs w:val="24"/>
              </w:rPr>
              <w:t>其中PEI、TPI、PI-5218</w:t>
            </w:r>
            <w:r>
              <w:rPr>
                <w:rFonts w:hint="eastAsia" w:ascii="宋体" w:hAnsi="宋体" w:cs="宋体"/>
                <w:i w:val="0"/>
                <w:caps w:val="0"/>
                <w:spacing w:val="0"/>
                <w:sz w:val="24"/>
                <w:szCs w:val="24"/>
                <w:lang w:eastAsia="zh-CN"/>
              </w:rPr>
              <w:t>、</w:t>
            </w:r>
            <w:r>
              <w:rPr>
                <w:rFonts w:hint="eastAsia" w:ascii="宋体" w:hAnsi="宋体" w:cs="宋体"/>
                <w:i w:val="0"/>
                <w:caps w:val="0"/>
                <w:spacing w:val="0"/>
                <w:sz w:val="24"/>
                <w:szCs w:val="24"/>
                <w:lang w:val="en-US" w:eastAsia="zh-CN"/>
              </w:rPr>
              <w:t>PEEK</w:t>
            </w:r>
            <w:r>
              <w:rPr>
                <w:rFonts w:hint="eastAsia" w:ascii="宋体" w:hAnsi="宋体" w:eastAsia="宋体" w:cs="宋体"/>
                <w:i w:val="0"/>
                <w:caps w:val="0"/>
                <w:spacing w:val="0"/>
                <w:sz w:val="24"/>
                <w:szCs w:val="24"/>
              </w:rPr>
              <w:t>均已实现产品销售，</w:t>
            </w:r>
            <w:r>
              <w:rPr>
                <w:rFonts w:hint="eastAsia" w:ascii="宋体" w:hAnsi="宋体" w:cs="宋体"/>
                <w:i w:val="0"/>
                <w:caps w:val="0"/>
                <w:spacing w:val="0"/>
                <w:sz w:val="24"/>
                <w:szCs w:val="24"/>
                <w:shd w:val="clear"/>
              </w:rPr>
              <w:t>PA46</w:t>
            </w:r>
            <w:r>
              <w:rPr>
                <w:rFonts w:hint="eastAsia" w:ascii="宋体" w:hAnsi="宋体" w:cs="宋体"/>
                <w:i w:val="0"/>
                <w:caps w:val="0"/>
                <w:spacing w:val="0"/>
                <w:sz w:val="24"/>
                <w:szCs w:val="24"/>
                <w:shd w:val="clear"/>
                <w:lang w:val="en-US" w:eastAsia="zh-CN"/>
              </w:rPr>
              <w:t>的中试工作正在积极推进中。年</w:t>
            </w:r>
            <w:r>
              <w:rPr>
                <w:rFonts w:hint="eastAsia" w:ascii="宋体" w:hAnsi="宋体" w:cs="宋体"/>
                <w:i w:val="0"/>
                <w:caps w:val="0"/>
                <w:spacing w:val="0"/>
                <w:sz w:val="24"/>
                <w:szCs w:val="24"/>
                <w:shd w:val="clear"/>
              </w:rPr>
              <w:t>产能1,500吨</w:t>
            </w:r>
            <w:r>
              <w:rPr>
                <w:rFonts w:hint="eastAsia" w:ascii="宋体" w:hAnsi="宋体" w:cs="宋体"/>
                <w:i w:val="0"/>
                <w:caps w:val="0"/>
                <w:spacing w:val="0"/>
                <w:sz w:val="24"/>
                <w:szCs w:val="24"/>
                <w:shd w:val="clear"/>
                <w:lang w:val="en-US" w:eastAsia="zh-CN"/>
              </w:rPr>
              <w:t>的</w:t>
            </w:r>
            <w:r>
              <w:rPr>
                <w:rFonts w:hint="eastAsia" w:ascii="宋体" w:hAnsi="宋体" w:cs="宋体"/>
                <w:i w:val="0"/>
                <w:caps w:val="0"/>
                <w:spacing w:val="0"/>
                <w:sz w:val="24"/>
                <w:szCs w:val="24"/>
                <w:shd w:val="clear"/>
              </w:rPr>
              <w:t>PEI</w:t>
            </w:r>
            <w:r>
              <w:rPr>
                <w:rFonts w:hint="eastAsia" w:ascii="宋体" w:hAnsi="宋体" w:cs="宋体"/>
                <w:i w:val="0"/>
                <w:caps w:val="0"/>
                <w:spacing w:val="0"/>
                <w:sz w:val="24"/>
                <w:szCs w:val="24"/>
                <w:shd w:val="clear"/>
                <w:lang w:val="en-US" w:eastAsia="zh-CN"/>
              </w:rPr>
              <w:t>产品</w:t>
            </w:r>
            <w:r>
              <w:rPr>
                <w:rFonts w:hint="eastAsia" w:ascii="宋体" w:hAnsi="宋体" w:cs="宋体"/>
                <w:i w:val="0"/>
                <w:caps w:val="0"/>
                <w:spacing w:val="0"/>
                <w:sz w:val="24"/>
                <w:szCs w:val="24"/>
                <w:shd w:val="clear"/>
              </w:rPr>
              <w:t>量产线</w:t>
            </w:r>
            <w:r>
              <w:rPr>
                <w:rFonts w:hint="eastAsia" w:ascii="宋体" w:hAnsi="宋体" w:cs="宋体"/>
                <w:i w:val="0"/>
                <w:caps w:val="0"/>
                <w:spacing w:val="0"/>
                <w:sz w:val="24"/>
                <w:szCs w:val="24"/>
                <w:shd w:val="clear"/>
                <w:lang w:val="en-US" w:eastAsia="zh-CN"/>
              </w:rPr>
              <w:t>已投入试生产</w:t>
            </w:r>
            <w:r>
              <w:rPr>
                <w:rFonts w:hint="eastAsia" w:ascii="宋体" w:hAnsi="宋体" w:cs="宋体"/>
                <w:i w:val="0"/>
                <w:caps w:val="0"/>
                <w:spacing w:val="0"/>
                <w:sz w:val="24"/>
                <w:szCs w:val="24"/>
                <w:shd w:val="clear"/>
                <w:lang w:eastAsia="zh-CN"/>
              </w:rPr>
              <w:t>，</w:t>
            </w:r>
            <w:r>
              <w:rPr>
                <w:rFonts w:hint="eastAsia" w:ascii="宋体" w:hAnsi="宋体" w:cs="宋体"/>
                <w:i w:val="0"/>
                <w:caps w:val="0"/>
                <w:spacing w:val="0"/>
                <w:sz w:val="24"/>
                <w:szCs w:val="24"/>
                <w:shd w:val="clear"/>
                <w:lang w:val="en-US" w:eastAsia="zh-CN"/>
              </w:rPr>
              <w:t>TPI、</w:t>
            </w:r>
            <w:r>
              <w:rPr>
                <w:rFonts w:hint="eastAsia" w:ascii="宋体" w:hAnsi="宋体" w:cs="宋体"/>
                <w:i w:val="0"/>
                <w:caps w:val="0"/>
                <w:spacing w:val="0"/>
                <w:sz w:val="24"/>
                <w:szCs w:val="24"/>
                <w:shd w:val="clear"/>
              </w:rPr>
              <w:t>PI-5218</w:t>
            </w:r>
            <w:r>
              <w:rPr>
                <w:rFonts w:hint="eastAsia" w:ascii="宋体" w:hAnsi="宋体" w:cs="宋体"/>
                <w:i w:val="0"/>
                <w:caps w:val="0"/>
                <w:spacing w:val="0"/>
                <w:sz w:val="24"/>
                <w:szCs w:val="24"/>
                <w:shd w:val="clear"/>
                <w:lang w:eastAsia="zh-CN"/>
              </w:rPr>
              <w:t>、</w:t>
            </w:r>
            <w:r>
              <w:rPr>
                <w:rFonts w:hint="eastAsia" w:ascii="宋体" w:hAnsi="宋体" w:cs="宋体"/>
                <w:i w:val="0"/>
                <w:caps w:val="0"/>
                <w:spacing w:val="0"/>
                <w:sz w:val="24"/>
                <w:szCs w:val="24"/>
                <w:shd w:val="clear"/>
                <w:lang w:val="en-US" w:eastAsia="zh-CN"/>
              </w:rPr>
              <w:t>PEEK的年产能均约100吨，</w:t>
            </w:r>
            <w:r>
              <w:rPr>
                <w:rFonts w:hint="eastAsia" w:ascii="宋体" w:hAnsi="宋体" w:eastAsia="宋体" w:cs="宋体"/>
                <w:i w:val="0"/>
                <w:caps w:val="0"/>
                <w:spacing w:val="0"/>
                <w:sz w:val="24"/>
                <w:szCs w:val="24"/>
              </w:rPr>
              <w:t>PA46</w:t>
            </w:r>
            <w:r>
              <w:rPr>
                <w:rFonts w:hint="eastAsia" w:ascii="宋体" w:hAnsi="宋体" w:cs="宋体"/>
                <w:i w:val="0"/>
                <w:caps w:val="0"/>
                <w:spacing w:val="0"/>
                <w:sz w:val="24"/>
                <w:szCs w:val="24"/>
                <w:lang w:val="en-US" w:eastAsia="zh-CN"/>
              </w:rPr>
              <w:t>如完成中试也将具备约100吨年产能</w:t>
            </w:r>
            <w:r>
              <w:rPr>
                <w:rFonts w:hint="eastAsia" w:ascii="宋体" w:hAnsi="宋体" w:cs="宋体"/>
                <w:i w:val="0"/>
                <w:caps w:val="0"/>
                <w:spacing w:val="0"/>
                <w:sz w:val="24"/>
                <w:szCs w:val="24"/>
                <w:shd w:val="clear"/>
                <w:lang w:eastAsia="zh-CN"/>
              </w:rPr>
              <w:t>。</w:t>
            </w:r>
          </w:p>
          <w:p w14:paraId="6E88BFE6">
            <w:pPr>
              <w:pStyle w:val="2"/>
              <w:ind w:firstLine="0"/>
              <w:rPr>
                <w:rFonts w:hint="eastAsia" w:ascii="宋体" w:hAnsi="宋体" w:eastAsia="宋体" w:cs="宋体"/>
                <w:kern w:val="0"/>
                <w:sz w:val="24"/>
                <w:szCs w:val="24"/>
                <w:lang w:val="en-US" w:eastAsia="zh-CN"/>
              </w:rPr>
            </w:pPr>
          </w:p>
          <w:p w14:paraId="2EB49B5C">
            <w:pPr>
              <w:pStyle w:val="2"/>
              <w:rPr>
                <w:rFonts w:hint="eastAsia" w:ascii="宋体" w:hAnsi="宋体" w:eastAsia="宋体" w:cs="宋体"/>
                <w:kern w:val="0"/>
                <w:sz w:val="24"/>
                <w:szCs w:val="24"/>
                <w:lang w:val="en-US" w:eastAsia="zh-CN"/>
              </w:rPr>
            </w:pPr>
          </w:p>
          <w:p w14:paraId="3440A2D7">
            <w:pPr>
              <w:numPr>
                <w:ilvl w:val="0"/>
                <w:numId w:val="0"/>
              </w:numPr>
              <w:tabs>
                <w:tab w:val="left" w:pos="720"/>
              </w:tabs>
              <w:autoSpaceDE w:val="0"/>
              <w:autoSpaceDN w:val="0"/>
              <w:adjustRightInd w:val="0"/>
              <w:spacing w:line="360" w:lineRule="auto"/>
              <w:ind w:firstLine="482" w:firstLineChars="200"/>
              <w:rPr>
                <w:rFonts w:hint="eastAsia" w:ascii="宋体" w:hAnsi="宋体" w:eastAsia="宋体" w:cs="宋体"/>
                <w:kern w:val="0"/>
                <w:sz w:val="24"/>
                <w:szCs w:val="24"/>
                <w:lang w:val="en-US" w:eastAsia="zh-CN"/>
              </w:rPr>
            </w:pPr>
            <w:r>
              <w:rPr>
                <w:rFonts w:hint="eastAsia" w:ascii="宋体" w:hAnsi="宋体" w:cs="宋体"/>
                <w:b/>
                <w:bCs/>
                <w:kern w:val="0"/>
                <w:sz w:val="24"/>
                <w:szCs w:val="24"/>
                <w:lang w:val="en-US" w:eastAsia="zh-CN"/>
              </w:rPr>
              <w:t>5、问：公司显示用PI材料领域的主要产品、用途与发展情况。</w:t>
            </w:r>
          </w:p>
          <w:p w14:paraId="093260F2">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w:t>
            </w:r>
            <w:r>
              <w:rPr>
                <w:rFonts w:hint="eastAsia" w:ascii="宋体" w:hAnsi="宋体" w:eastAsia="宋体" w:cs="宋体"/>
                <w:kern w:val="0"/>
                <w:sz w:val="24"/>
                <w:szCs w:val="24"/>
                <w:lang w:val="en-US" w:eastAsia="zh-CN"/>
              </w:rPr>
              <w:t>公司</w:t>
            </w:r>
            <w:r>
              <w:rPr>
                <w:rFonts w:hint="eastAsia" w:ascii="宋体" w:hAnsi="宋体" w:cs="宋体"/>
                <w:kern w:val="0"/>
                <w:sz w:val="24"/>
                <w:szCs w:val="24"/>
                <w:lang w:val="en-US" w:eastAsia="zh-CN"/>
              </w:rPr>
              <w:t>显示用PI材料主要包括PSPI成品材料与取向剂PI成品材料两类。PSPI</w:t>
            </w:r>
            <w:r>
              <w:rPr>
                <w:rFonts w:hint="eastAsia" w:ascii="宋体" w:hAnsi="宋体" w:eastAsia="宋体" w:cs="宋体"/>
                <w:kern w:val="0"/>
                <w:sz w:val="24"/>
                <w:szCs w:val="24"/>
                <w:lang w:val="en-US" w:eastAsia="zh-CN"/>
              </w:rPr>
              <w:t>成品材料</w:t>
            </w:r>
            <w:r>
              <w:rPr>
                <w:rFonts w:hint="eastAsia" w:ascii="宋体" w:hAnsi="宋体" w:cs="宋体"/>
                <w:kern w:val="0"/>
                <w:sz w:val="24"/>
                <w:szCs w:val="24"/>
                <w:lang w:val="en-US" w:eastAsia="zh-CN"/>
              </w:rPr>
              <w:t>用于OLED显示面板的</w:t>
            </w:r>
            <w:r>
              <w:rPr>
                <w:rFonts w:ascii="宋体" w:hAnsi="宋体" w:eastAsia="宋体" w:cs="宋体"/>
                <w:sz w:val="24"/>
                <w:szCs w:val="24"/>
              </w:rPr>
              <w:t>相素定义层、支撑层、平坦层</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产品</w:t>
            </w:r>
            <w:r>
              <w:rPr>
                <w:rFonts w:hint="eastAsia" w:ascii="宋体" w:hAnsi="宋体" w:eastAsia="宋体" w:cs="宋体"/>
                <w:kern w:val="0"/>
                <w:sz w:val="24"/>
                <w:szCs w:val="24"/>
                <w:lang w:val="en-US" w:eastAsia="zh-CN"/>
              </w:rPr>
              <w:t>销往下游</w:t>
            </w:r>
            <w:r>
              <w:rPr>
                <w:rFonts w:hint="eastAsia" w:ascii="宋体" w:hAnsi="宋体" w:cs="宋体"/>
                <w:kern w:val="0"/>
                <w:sz w:val="24"/>
                <w:szCs w:val="24"/>
                <w:lang w:val="en-US" w:eastAsia="zh-CN"/>
              </w:rPr>
              <w:t>OLED面板制造企业；</w:t>
            </w:r>
            <w:r>
              <w:rPr>
                <w:rFonts w:hint="eastAsia" w:ascii="宋体" w:hAnsi="宋体" w:eastAsia="宋体" w:cs="宋体"/>
                <w:kern w:val="0"/>
                <w:sz w:val="24"/>
                <w:szCs w:val="24"/>
                <w:lang w:val="en-US" w:eastAsia="zh-CN"/>
              </w:rPr>
              <w:t>取向剂PI成品材料</w:t>
            </w:r>
            <w:r>
              <w:rPr>
                <w:rFonts w:hint="eastAsia" w:ascii="宋体" w:hAnsi="宋体" w:cs="宋体"/>
                <w:kern w:val="0"/>
                <w:sz w:val="24"/>
                <w:szCs w:val="24"/>
                <w:lang w:val="en-US" w:eastAsia="zh-CN"/>
              </w:rPr>
              <w:t>用于液晶显示面板的配向层</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产品</w:t>
            </w:r>
            <w:r>
              <w:rPr>
                <w:rFonts w:hint="eastAsia" w:ascii="宋体" w:hAnsi="宋体" w:eastAsia="宋体" w:cs="宋体"/>
                <w:kern w:val="0"/>
                <w:sz w:val="24"/>
                <w:szCs w:val="24"/>
                <w:lang w:val="en-US" w:eastAsia="zh-CN"/>
              </w:rPr>
              <w:t>销往下游</w:t>
            </w:r>
            <w:r>
              <w:rPr>
                <w:rFonts w:hint="eastAsia" w:ascii="宋体" w:hAnsi="宋体" w:cs="宋体"/>
                <w:kern w:val="0"/>
                <w:sz w:val="24"/>
                <w:szCs w:val="24"/>
                <w:lang w:val="en-US" w:eastAsia="zh-CN"/>
              </w:rPr>
              <w:t>LCD面板制造企业</w:t>
            </w:r>
            <w:r>
              <w:rPr>
                <w:rFonts w:hint="eastAsia" w:ascii="宋体" w:hAnsi="宋体" w:eastAsia="宋体" w:cs="宋体"/>
                <w:kern w:val="0"/>
                <w:sz w:val="24"/>
                <w:szCs w:val="24"/>
                <w:lang w:val="en-US" w:eastAsia="zh-CN"/>
              </w:rPr>
              <w:t>。整体销售情况</w:t>
            </w:r>
            <w:r>
              <w:rPr>
                <w:rFonts w:hint="eastAsia" w:ascii="宋体" w:hAnsi="宋体" w:cs="宋体"/>
                <w:kern w:val="0"/>
                <w:sz w:val="24"/>
                <w:szCs w:val="24"/>
                <w:lang w:val="en-US" w:eastAsia="zh-CN"/>
              </w:rPr>
              <w:t>2025年度及2026</w:t>
            </w:r>
            <w:r>
              <w:rPr>
                <w:rFonts w:hint="eastAsia" w:ascii="宋体" w:hAnsi="宋体" w:eastAsia="宋体" w:cs="宋体"/>
                <w:kern w:val="0"/>
                <w:sz w:val="24"/>
                <w:szCs w:val="24"/>
                <w:lang w:val="en-US" w:eastAsia="zh-CN"/>
              </w:rPr>
              <w:t>年一季度均呈现</w:t>
            </w:r>
            <w:r>
              <w:rPr>
                <w:rFonts w:hint="eastAsia" w:ascii="宋体" w:hAnsi="宋体" w:cs="宋体"/>
                <w:kern w:val="0"/>
                <w:sz w:val="24"/>
                <w:szCs w:val="24"/>
                <w:lang w:val="en-US" w:eastAsia="zh-CN"/>
              </w:rPr>
              <w:t>同比</w:t>
            </w:r>
            <w:r>
              <w:rPr>
                <w:rFonts w:hint="eastAsia" w:ascii="宋体" w:hAnsi="宋体" w:eastAsia="宋体" w:cs="宋体"/>
                <w:kern w:val="0"/>
                <w:sz w:val="24"/>
                <w:szCs w:val="24"/>
                <w:lang w:val="en-US" w:eastAsia="zh-CN"/>
              </w:rPr>
              <w:t>增长态势</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目前两类显示用PI材料均已实现在下游多家显示面板厂的持续供应</w:t>
            </w:r>
            <w:r>
              <w:rPr>
                <w:rFonts w:hint="eastAsia" w:ascii="宋体" w:hAnsi="宋体" w:cs="宋体"/>
                <w:kern w:val="0"/>
                <w:sz w:val="24"/>
                <w:szCs w:val="24"/>
                <w:lang w:val="en-US" w:eastAsia="zh-CN"/>
              </w:rPr>
              <w:t>。</w:t>
            </w:r>
            <w:r>
              <w:rPr>
                <w:rFonts w:hint="eastAsia" w:ascii="宋体" w:hAnsi="宋体" w:cs="宋体"/>
                <w:b w:val="0"/>
                <w:bCs w:val="0"/>
                <w:kern w:val="0"/>
                <w:sz w:val="24"/>
                <w:szCs w:val="24"/>
                <w:lang w:val="en-US" w:eastAsia="zh-CN"/>
              </w:rPr>
              <w:t>在新产能建设方面，公司</w:t>
            </w:r>
            <w:r>
              <w:rPr>
                <w:rFonts w:hint="eastAsia" w:ascii="宋体" w:hAnsi="宋体" w:eastAsia="宋体" w:cs="宋体"/>
                <w:sz w:val="24"/>
                <w:szCs w:val="24"/>
                <w:lang w:val="en-US" w:eastAsia="zh-CN"/>
              </w:rPr>
              <w:t>工业园二期C05建设项目包含</w:t>
            </w:r>
            <w:r>
              <w:rPr>
                <w:rFonts w:hint="eastAsia" w:ascii="宋体" w:hAnsi="宋体" w:cs="宋体"/>
                <w:sz w:val="24"/>
                <w:szCs w:val="24"/>
                <w:lang w:val="en-US" w:eastAsia="zh-CN"/>
              </w:rPr>
              <w:t>显示用PI材料</w:t>
            </w:r>
            <w:r>
              <w:rPr>
                <w:rFonts w:hint="eastAsia" w:ascii="宋体" w:hAnsi="宋体" w:eastAsia="宋体" w:cs="宋体"/>
                <w:sz w:val="24"/>
                <w:szCs w:val="24"/>
                <w:lang w:val="en-US" w:eastAsia="zh-CN"/>
              </w:rPr>
              <w:t>产能约7</w:t>
            </w:r>
            <w:r>
              <w:rPr>
                <w:rFonts w:hint="eastAsia" w:ascii="宋体" w:hAnsi="宋体" w:cs="宋体"/>
                <w:sz w:val="24"/>
                <w:szCs w:val="24"/>
                <w:lang w:val="en-US" w:eastAsia="zh-CN"/>
              </w:rPr>
              <w:t>00</w:t>
            </w:r>
            <w:r>
              <w:rPr>
                <w:rFonts w:hint="eastAsia" w:ascii="宋体" w:hAnsi="宋体" w:eastAsia="宋体" w:cs="宋体"/>
                <w:sz w:val="24"/>
                <w:szCs w:val="24"/>
                <w:lang w:val="en-US" w:eastAsia="zh-CN"/>
              </w:rPr>
              <w:t>吨，</w:t>
            </w:r>
            <w:r>
              <w:rPr>
                <w:rFonts w:hint="eastAsia" w:ascii="宋体" w:hAnsi="宋体" w:cs="宋体"/>
                <w:sz w:val="24"/>
                <w:szCs w:val="24"/>
                <w:lang w:val="en-US" w:eastAsia="zh-CN"/>
              </w:rPr>
              <w:t>争取</w:t>
            </w:r>
            <w:r>
              <w:rPr>
                <w:rFonts w:hint="eastAsia" w:ascii="宋体" w:hAnsi="宋体" w:eastAsia="宋体" w:cs="宋体"/>
                <w:sz w:val="24"/>
                <w:szCs w:val="24"/>
                <w:lang w:val="en-US" w:eastAsia="zh-CN"/>
              </w:rPr>
              <w:t>在</w:t>
            </w:r>
            <w:r>
              <w:rPr>
                <w:rFonts w:hint="eastAsia" w:ascii="宋体" w:hAnsi="宋体" w:cs="宋体"/>
                <w:sz w:val="24"/>
                <w:szCs w:val="24"/>
                <w:lang w:val="en-US" w:eastAsia="zh-CN"/>
              </w:rPr>
              <w:t>2026年底左右</w:t>
            </w:r>
            <w:r>
              <w:rPr>
                <w:rFonts w:hint="eastAsia" w:ascii="宋体" w:hAnsi="宋体" w:eastAsia="宋体" w:cs="宋体"/>
                <w:sz w:val="24"/>
                <w:szCs w:val="24"/>
                <w:lang w:val="en-US" w:eastAsia="zh-CN"/>
              </w:rPr>
              <w:t>完成建设。</w:t>
            </w:r>
          </w:p>
          <w:p w14:paraId="398E8BF2">
            <w:pPr>
              <w:numPr>
                <w:ilvl w:val="0"/>
                <w:numId w:val="0"/>
              </w:numPr>
              <w:tabs>
                <w:tab w:val="left" w:pos="720"/>
              </w:tabs>
              <w:autoSpaceDE w:val="0"/>
              <w:autoSpaceDN w:val="0"/>
              <w:adjustRightInd w:val="0"/>
              <w:spacing w:line="360" w:lineRule="auto"/>
              <w:ind w:firstLine="0" w:firstLineChars="0"/>
              <w:rPr>
                <w:rFonts w:hint="eastAsia" w:ascii="宋体" w:hAnsi="宋体" w:eastAsia="宋体" w:cs="宋体"/>
                <w:kern w:val="0"/>
                <w:sz w:val="24"/>
                <w:szCs w:val="24"/>
                <w:lang w:val="en-US" w:eastAsia="zh-CN"/>
              </w:rPr>
            </w:pPr>
          </w:p>
          <w:p w14:paraId="0675B6F3">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6、问：公司生命科学与医药业务2025年情况及2026年一季度的情况？</w:t>
            </w:r>
          </w:p>
          <w:p w14:paraId="50C662C9">
            <w:pPr>
              <w:tabs>
                <w:tab w:val="left" w:pos="720"/>
              </w:tabs>
              <w:autoSpaceDE w:val="0"/>
              <w:autoSpaceDN w:val="0"/>
              <w:adjustRightInd w:val="0"/>
              <w:spacing w:line="360" w:lineRule="auto"/>
              <w:ind w:firstLine="480" w:firstLineChars="200"/>
              <w:rPr>
                <w:rFonts w:hint="default" w:ascii="宋体" w:hAnsi="宋体" w:eastAsia="宋体" w:cs="宋体"/>
                <w:b w:val="0"/>
                <w:bCs w:val="0"/>
                <w:kern w:val="0"/>
                <w:sz w:val="24"/>
                <w:szCs w:val="24"/>
                <w:highlight w:val="none"/>
                <w:lang w:val="en-US" w:eastAsia="zh-CN"/>
              </w:rPr>
            </w:pPr>
            <w:r>
              <w:rPr>
                <w:rFonts w:hint="eastAsia" w:ascii="宋体" w:hAnsi="宋体" w:eastAsia="宋体" w:cs="宋体"/>
                <w:sz w:val="24"/>
                <w:szCs w:val="24"/>
                <w:lang w:val="en-US" w:eastAsia="zh-CN"/>
              </w:rPr>
              <w:t>答：</w:t>
            </w:r>
            <w:r>
              <w:rPr>
                <w:rFonts w:hint="eastAsia" w:ascii="宋体" w:hAnsi="宋体" w:cs="宋体"/>
                <w:sz w:val="24"/>
                <w:szCs w:val="24"/>
                <w:lang w:val="en-US" w:eastAsia="zh-CN"/>
              </w:rPr>
              <w:t>公司生命科学与医药业务2025年实现收入约7.48亿，较比去年同期增长约18.91%</w:t>
            </w:r>
            <w:r>
              <w:rPr>
                <w:rFonts w:hint="eastAsia" w:ascii="宋体" w:hAnsi="宋体" w:cs="宋体"/>
                <w:kern w:val="0"/>
                <w:sz w:val="24"/>
                <w:szCs w:val="24"/>
                <w:lang w:val="en-US" w:eastAsia="zh-CN"/>
              </w:rPr>
              <w:t>。</w:t>
            </w:r>
            <w:r>
              <w:rPr>
                <w:rFonts w:hint="eastAsia" w:ascii="宋体" w:hAnsi="宋体" w:cs="宋体"/>
                <w:sz w:val="24"/>
                <w:szCs w:val="24"/>
                <w:lang w:val="en-US" w:eastAsia="zh-CN"/>
              </w:rPr>
              <w:t>2026</w:t>
            </w:r>
            <w:r>
              <w:rPr>
                <w:rFonts w:hint="eastAsia" w:ascii="宋体" w:hAnsi="宋体" w:eastAsia="宋体" w:cs="宋体"/>
                <w:sz w:val="24"/>
                <w:szCs w:val="24"/>
                <w:lang w:val="en-US" w:eastAsia="zh-CN"/>
              </w:rPr>
              <w:t>年一季度</w:t>
            </w:r>
            <w:r>
              <w:rPr>
                <w:rFonts w:hint="eastAsia" w:ascii="宋体" w:hAnsi="宋体" w:cs="宋体"/>
                <w:sz w:val="24"/>
                <w:szCs w:val="24"/>
                <w:lang w:val="en-US" w:eastAsia="zh-CN"/>
              </w:rPr>
              <w:t>公司生命科学与医药业务</w:t>
            </w:r>
            <w:r>
              <w:rPr>
                <w:rFonts w:hint="eastAsia" w:ascii="宋体" w:hAnsi="宋体" w:eastAsia="宋体" w:cs="宋体"/>
                <w:sz w:val="24"/>
                <w:szCs w:val="24"/>
                <w:lang w:val="en-US" w:eastAsia="zh-CN"/>
              </w:rPr>
              <w:t>收入情况较比去年同期</w:t>
            </w:r>
            <w:r>
              <w:rPr>
                <w:rFonts w:hint="eastAsia" w:ascii="宋体" w:hAnsi="宋体" w:cs="宋体"/>
                <w:sz w:val="24"/>
                <w:szCs w:val="24"/>
                <w:lang w:val="en-US" w:eastAsia="zh-CN"/>
              </w:rPr>
              <w:t>有所下降</w:t>
            </w:r>
            <w:r>
              <w:rPr>
                <w:rFonts w:hint="default" w:ascii="宋体" w:hAnsi="宋体" w:eastAsia="宋体" w:cs="宋体"/>
                <w:b w:val="0"/>
                <w:bCs w:val="0"/>
                <w:kern w:val="0"/>
                <w:sz w:val="24"/>
                <w:szCs w:val="24"/>
                <w:highlight w:val="none"/>
                <w:lang w:val="en-US" w:eastAsia="zh-CN"/>
              </w:rPr>
              <w:t>。</w:t>
            </w:r>
          </w:p>
          <w:p w14:paraId="4DFE128A">
            <w:pPr>
              <w:pStyle w:val="2"/>
              <w:rPr>
                <w:rFonts w:hint="eastAsia"/>
                <w:lang w:val="en-US" w:eastAsia="zh-CN"/>
              </w:rPr>
            </w:pPr>
          </w:p>
          <w:p w14:paraId="37D67847">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7、问：公司的固态电池材料中试线建设是否按计划推进？</w:t>
            </w:r>
          </w:p>
          <w:p w14:paraId="464FFC78">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答：</w:t>
            </w:r>
            <w:r>
              <w:rPr>
                <w:rFonts w:hint="eastAsia" w:ascii="宋体" w:hAnsi="宋体" w:cs="宋体"/>
                <w:sz w:val="24"/>
                <w:szCs w:val="24"/>
                <w:lang w:val="en-US" w:eastAsia="zh-CN"/>
              </w:rPr>
              <w:t>公司固态电池材料硫化锂的</w:t>
            </w:r>
            <w:r>
              <w:rPr>
                <w:rFonts w:hint="eastAsia" w:ascii="宋体" w:hAnsi="宋体" w:cs="宋体"/>
                <w:sz w:val="24"/>
                <w:szCs w:val="24"/>
                <w:highlight w:val="none"/>
                <w:lang w:val="en-US" w:eastAsia="zh-CN"/>
              </w:rPr>
              <w:t>中试线建设工作正在按计划推进中，目前来看能够在6月底之前完成建设。</w:t>
            </w:r>
          </w:p>
          <w:p w14:paraId="76AD44E7">
            <w:pPr>
              <w:pStyle w:val="2"/>
              <w:rPr>
                <w:rFonts w:hint="eastAsia"/>
                <w:lang w:val="en-US" w:eastAsia="zh-CN"/>
              </w:rPr>
            </w:pPr>
          </w:p>
          <w:p w14:paraId="0DEFE319">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sz w:val="24"/>
                <w:szCs w:val="24"/>
                <w:highlight w:val="none"/>
                <w:lang w:val="en-US" w:eastAsia="zh-CN"/>
              </w:rPr>
              <w:t>8</w:t>
            </w:r>
            <w:r>
              <w:rPr>
                <w:rFonts w:hint="eastAsia" w:ascii="宋体" w:hAnsi="宋体" w:cs="宋体"/>
                <w:b/>
                <w:bCs/>
                <w:spacing w:val="0"/>
                <w:kern w:val="0"/>
                <w:sz w:val="24"/>
                <w:szCs w:val="24"/>
                <w:lang w:val="en-US" w:eastAsia="zh-CN"/>
              </w:rPr>
              <w:t>、</w:t>
            </w:r>
            <w:r>
              <w:rPr>
                <w:rFonts w:hint="eastAsia" w:ascii="宋体" w:hAnsi="宋体" w:cs="宋体"/>
                <w:b/>
                <w:bCs/>
                <w:kern w:val="0"/>
                <w:sz w:val="24"/>
                <w:szCs w:val="24"/>
                <w:lang w:val="en-US" w:eastAsia="zh-CN"/>
              </w:rPr>
              <w:t>问：公司沸石分子筛产品2025年及2026年一季度是否有所恢复。</w:t>
            </w:r>
          </w:p>
          <w:p w14:paraId="57760576">
            <w:pPr>
              <w:numPr>
                <w:ilvl w:val="0"/>
                <w:numId w:val="0"/>
              </w:numPr>
              <w:tabs>
                <w:tab w:val="left" w:pos="720"/>
              </w:tabs>
              <w:overflowPunct/>
              <w:autoSpaceDE w:val="0"/>
              <w:autoSpaceDN w:val="0"/>
              <w:adjustRightInd w:val="0"/>
              <w:spacing w:beforeLines="-2147483648" w:line="360" w:lineRule="auto"/>
              <w:ind w:firstLine="480" w:firstLineChars="200"/>
              <w:outlineLvl w:val="9"/>
              <w:rPr>
                <w:rFonts w:hint="eastAsia" w:ascii="宋体" w:hAnsi="宋体" w:eastAsia="宋体" w:cs="宋体"/>
                <w:kern w:val="2"/>
                <w:sz w:val="24"/>
                <w:szCs w:val="24"/>
                <w:lang w:val="en-US" w:eastAsia="zh-CN"/>
              </w:rPr>
            </w:pPr>
            <w:r>
              <w:rPr>
                <w:rFonts w:hint="eastAsia" w:ascii="宋体" w:hAnsi="宋体" w:eastAsia="宋体" w:cs="宋体"/>
                <w:sz w:val="24"/>
                <w:szCs w:val="24"/>
                <w:lang w:val="en-US" w:eastAsia="zh-CN"/>
              </w:rPr>
              <w:t>答：</w:t>
            </w:r>
            <w:r>
              <w:rPr>
                <w:rFonts w:hint="eastAsia" w:ascii="宋体" w:hAnsi="宋体" w:eastAsia="宋体" w:cs="宋体"/>
                <w:b w:val="0"/>
                <w:bCs w:val="0"/>
                <w:kern w:val="2"/>
                <w:sz w:val="24"/>
                <w:szCs w:val="24"/>
                <w:lang w:val="en-US" w:eastAsia="zh-CN"/>
              </w:rPr>
              <w:t>公司</w:t>
            </w:r>
            <w:r>
              <w:rPr>
                <w:rFonts w:hint="eastAsia" w:ascii="宋体" w:hAnsi="宋体" w:cs="宋体"/>
                <w:b w:val="0"/>
                <w:bCs w:val="0"/>
                <w:kern w:val="2"/>
                <w:sz w:val="24"/>
                <w:szCs w:val="24"/>
                <w:lang w:val="en-US" w:eastAsia="zh-CN"/>
              </w:rPr>
              <w:t>2025</w:t>
            </w:r>
            <w:r>
              <w:rPr>
                <w:rFonts w:hint="eastAsia" w:ascii="宋体" w:hAnsi="宋体" w:eastAsia="宋体" w:cs="宋体"/>
                <w:b w:val="0"/>
                <w:bCs w:val="0"/>
                <w:kern w:val="2"/>
                <w:sz w:val="24"/>
                <w:szCs w:val="24"/>
                <w:lang w:val="en-US" w:eastAsia="zh-CN"/>
              </w:rPr>
              <w:t>年度</w:t>
            </w:r>
            <w:r>
              <w:rPr>
                <w:rFonts w:hint="eastAsia" w:ascii="宋体" w:hAnsi="宋体" w:eastAsia="宋体" w:cs="宋体"/>
                <w:kern w:val="2"/>
                <w:sz w:val="24"/>
                <w:szCs w:val="24"/>
                <w:lang w:val="en-US" w:eastAsia="zh-CN"/>
              </w:rPr>
              <w:t>沸石</w:t>
            </w:r>
            <w:r>
              <w:rPr>
                <w:rFonts w:hint="eastAsia" w:ascii="宋体" w:hAnsi="宋体" w:cs="宋体"/>
                <w:kern w:val="2"/>
                <w:sz w:val="24"/>
                <w:szCs w:val="24"/>
                <w:lang w:val="en-US" w:eastAsia="zh-CN"/>
              </w:rPr>
              <w:t>分子筛产品收入略低于2024年度</w:t>
            </w:r>
            <w:r>
              <w:rPr>
                <w:rFonts w:hint="eastAsia" w:ascii="宋体" w:hAnsi="宋体" w:eastAsia="宋体" w:cs="宋体"/>
                <w:kern w:val="2"/>
                <w:sz w:val="24"/>
                <w:szCs w:val="24"/>
                <w:lang w:val="en-US" w:eastAsia="zh-CN"/>
              </w:rPr>
              <w:t>，</w:t>
            </w:r>
            <w:r>
              <w:rPr>
                <w:rFonts w:hint="eastAsia" w:ascii="宋体" w:hAnsi="宋体" w:cs="宋体"/>
                <w:b w:val="0"/>
                <w:bCs w:val="0"/>
                <w:kern w:val="2"/>
                <w:sz w:val="24"/>
                <w:szCs w:val="24"/>
                <w:lang w:val="en-US" w:eastAsia="zh-CN"/>
              </w:rPr>
              <w:t>2026</w:t>
            </w:r>
            <w:r>
              <w:rPr>
                <w:rFonts w:hint="eastAsia" w:ascii="宋体" w:hAnsi="宋体" w:eastAsia="宋体" w:cs="宋体"/>
                <w:b w:val="0"/>
                <w:bCs w:val="0"/>
                <w:kern w:val="2"/>
                <w:sz w:val="24"/>
                <w:szCs w:val="24"/>
                <w:lang w:val="en-US" w:eastAsia="zh-CN"/>
              </w:rPr>
              <w:t>年一季度收入</w:t>
            </w:r>
            <w:r>
              <w:rPr>
                <w:rFonts w:hint="eastAsia" w:ascii="宋体" w:hAnsi="宋体" w:cs="宋体"/>
                <w:b w:val="0"/>
                <w:bCs w:val="0"/>
                <w:kern w:val="2"/>
                <w:sz w:val="24"/>
                <w:szCs w:val="24"/>
                <w:lang w:val="en-US" w:eastAsia="zh-CN"/>
              </w:rPr>
              <w:t>较比2025年一季度有所增长</w:t>
            </w:r>
            <w:r>
              <w:rPr>
                <w:rFonts w:hint="eastAsia" w:ascii="宋体" w:hAnsi="宋体" w:eastAsia="宋体" w:cs="宋体"/>
                <w:kern w:val="2"/>
                <w:sz w:val="24"/>
                <w:szCs w:val="24"/>
                <w:lang w:val="en-US" w:eastAsia="zh-CN"/>
              </w:rPr>
              <w:t>。近年来为应对车用沸石分子筛产品下游需求的波动，公司积极开发并推广石油化工催化领域的沸石分子筛产品，2025年</w:t>
            </w:r>
            <w:r>
              <w:rPr>
                <w:rFonts w:hint="eastAsia" w:ascii="宋体" w:hAnsi="宋体" w:eastAsia="宋体" w:cs="宋体"/>
                <w:sz w:val="24"/>
                <w:szCs w:val="24"/>
              </w:rPr>
              <w:t>公司与中国石化催化剂有限公司签署《项目合作意向书》</w:t>
            </w:r>
            <w:r>
              <w:rPr>
                <w:rFonts w:hint="eastAsia" w:ascii="宋体" w:hAnsi="宋体" w:eastAsia="宋体" w:cs="宋体"/>
                <w:kern w:val="2"/>
                <w:sz w:val="24"/>
                <w:szCs w:val="24"/>
                <w:lang w:val="en-US" w:eastAsia="zh-CN"/>
              </w:rPr>
              <w:t>，现已有产品实现销售，因该业务往来属于关联交易，如达到关联交易披露标准将及时披露；同时，公司</w:t>
            </w:r>
            <w:r>
              <w:rPr>
                <w:rFonts w:hint="eastAsia" w:ascii="宋体" w:hAnsi="宋体" w:cs="宋体"/>
                <w:kern w:val="2"/>
                <w:sz w:val="24"/>
                <w:szCs w:val="24"/>
                <w:lang w:val="en-US" w:eastAsia="zh-CN"/>
              </w:rPr>
              <w:t>积极</w:t>
            </w:r>
            <w:r>
              <w:rPr>
                <w:rFonts w:hint="eastAsia" w:ascii="宋体" w:hAnsi="宋体" w:eastAsia="宋体" w:cs="宋体"/>
                <w:sz w:val="24"/>
                <w:szCs w:val="24"/>
                <w:lang w:val="en-US" w:eastAsia="zh-CN"/>
              </w:rPr>
              <w:t>推进</w:t>
            </w:r>
            <w:r>
              <w:rPr>
                <w:rFonts w:hint="eastAsia" w:ascii="宋体" w:hAnsi="宋体" w:eastAsia="宋体" w:cs="宋体"/>
                <w:kern w:val="2"/>
                <w:sz w:val="24"/>
                <w:szCs w:val="24"/>
                <w:lang w:val="en-US" w:eastAsia="zh-CN"/>
              </w:rPr>
              <w:t>欧七及同级别标准的沸石分子筛产品开发与推广</w:t>
            </w:r>
            <w:r>
              <w:rPr>
                <w:rFonts w:hint="eastAsia" w:ascii="宋体" w:hAnsi="宋体" w:eastAsia="宋体" w:cs="宋体"/>
                <w:b w:val="0"/>
                <w:bCs w:val="0"/>
                <w:kern w:val="2"/>
                <w:sz w:val="24"/>
                <w:szCs w:val="24"/>
                <w:lang w:val="en-US" w:eastAsia="zh-CN"/>
              </w:rPr>
              <w:t>，并持续推进</w:t>
            </w:r>
            <w:r>
              <w:rPr>
                <w:rFonts w:hint="eastAsia" w:ascii="宋体" w:hAnsi="宋体" w:eastAsia="宋体" w:cs="宋体"/>
                <w:kern w:val="2"/>
                <w:sz w:val="24"/>
                <w:szCs w:val="24"/>
                <w:lang w:val="en-US" w:eastAsia="zh-CN"/>
              </w:rPr>
              <w:t>改进、优化和验证工作，</w:t>
            </w:r>
            <w:r>
              <w:rPr>
                <w:rFonts w:hint="eastAsia" w:ascii="宋体" w:hAnsi="宋体" w:cs="宋体"/>
                <w:kern w:val="2"/>
                <w:sz w:val="24"/>
                <w:szCs w:val="24"/>
                <w:lang w:val="en-US" w:eastAsia="zh-CN"/>
              </w:rPr>
              <w:t>力争</w:t>
            </w:r>
            <w:r>
              <w:rPr>
                <w:rFonts w:hint="eastAsia" w:ascii="宋体" w:hAnsi="宋体" w:eastAsia="宋体" w:cs="宋体"/>
                <w:kern w:val="2"/>
                <w:sz w:val="24"/>
                <w:szCs w:val="24"/>
                <w:lang w:val="en-US" w:eastAsia="zh-CN"/>
              </w:rPr>
              <w:t>在车用</w:t>
            </w:r>
            <w:r>
              <w:rPr>
                <w:rFonts w:hint="eastAsia" w:ascii="宋体" w:hAnsi="宋体" w:eastAsia="宋体" w:cs="宋体"/>
                <w:b w:val="0"/>
                <w:bCs w:val="0"/>
                <w:kern w:val="2"/>
                <w:sz w:val="24"/>
                <w:szCs w:val="24"/>
                <w:lang w:val="en-US" w:eastAsia="zh-CN"/>
              </w:rPr>
              <w:t>沸石分子筛领域</w:t>
            </w:r>
            <w:r>
              <w:rPr>
                <w:rFonts w:hint="eastAsia" w:ascii="宋体" w:hAnsi="宋体" w:eastAsia="宋体" w:cs="宋体"/>
                <w:kern w:val="2"/>
                <w:sz w:val="24"/>
                <w:szCs w:val="24"/>
                <w:lang w:val="en-US" w:eastAsia="zh-CN"/>
              </w:rPr>
              <w:t>的市场地位能够随之进一步稳固及提升。</w:t>
            </w:r>
          </w:p>
          <w:p w14:paraId="6C406B05">
            <w:pPr>
              <w:numPr>
                <w:ilvl w:val="0"/>
                <w:numId w:val="0"/>
              </w:numPr>
              <w:tabs>
                <w:tab w:val="left" w:pos="720"/>
              </w:tabs>
              <w:autoSpaceDE w:val="0"/>
              <w:autoSpaceDN w:val="0"/>
              <w:adjustRightInd w:val="0"/>
              <w:spacing w:line="360" w:lineRule="auto"/>
              <w:ind w:firstLine="480" w:firstLineChars="200"/>
              <w:rPr>
                <w:rFonts w:hint="eastAsia" w:ascii="宋体" w:hAnsi="宋体" w:eastAsia="宋体" w:cs="宋体"/>
                <w:sz w:val="24"/>
                <w:szCs w:val="24"/>
                <w:lang w:val="en-US" w:eastAsia="zh-CN"/>
              </w:rPr>
            </w:pPr>
          </w:p>
          <w:p w14:paraId="3A94A0C9">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9、问：公司钙钛矿材料及布局了哪些产品，发展情况如何？</w:t>
            </w:r>
          </w:p>
          <w:p w14:paraId="64BDD03A">
            <w:pPr>
              <w:numPr>
                <w:ilvl w:val="0"/>
                <w:numId w:val="0"/>
              </w:numPr>
              <w:tabs>
                <w:tab w:val="left" w:pos="720"/>
              </w:tabs>
              <w:autoSpaceDE/>
              <w:autoSpaceDN/>
              <w:adjustRightInd/>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w:t>
            </w:r>
            <w:r>
              <w:rPr>
                <w:rFonts w:hint="eastAsia" w:ascii="宋体" w:hAnsi="宋体" w:cs="宋体"/>
                <w:sz w:val="24"/>
                <w:szCs w:val="24"/>
                <w:lang w:val="en-US" w:eastAsia="zh-CN"/>
              </w:rPr>
              <w:t>目前</w:t>
            </w:r>
            <w:r>
              <w:rPr>
                <w:rFonts w:hint="eastAsia" w:ascii="宋体" w:hAnsi="宋体" w:eastAsia="宋体" w:cs="宋体"/>
                <w:sz w:val="24"/>
                <w:szCs w:val="24"/>
                <w:lang w:val="en-US" w:eastAsia="zh-CN"/>
              </w:rPr>
              <w:t>公司布局的钙钛矿光伏材料主要包括空穴传输层材料、电子传输层材料、钙钛矿层材料、SAMs材料等，各类材料均有产品实现销售。另外公司钙钛矿光伏胶膜也已完成开发，开始送样验证。目前虽然行业下游钙钛矿光伏组件尚未达到大规模商业化应用阶段，但下游钙钛矿光伏组件技术水平持续进步，效率及稳定性持续提升。未来我们将继续以高品质的钙钛矿光伏材料助力下游企业更好发展。</w:t>
            </w:r>
          </w:p>
          <w:p w14:paraId="226D5BE1">
            <w:pPr>
              <w:pStyle w:val="2"/>
              <w:rPr>
                <w:rFonts w:hint="eastAsia"/>
                <w:lang w:val="en-US" w:eastAsia="zh-CN"/>
              </w:rPr>
            </w:pPr>
          </w:p>
          <w:p w14:paraId="04842BB2">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10、问：公司液晶材料2025年及近期的情况如何？</w:t>
            </w:r>
          </w:p>
          <w:p w14:paraId="5A988DB6">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答：</w:t>
            </w:r>
            <w:r>
              <w:rPr>
                <w:rFonts w:hint="eastAsia" w:ascii="宋体" w:hAnsi="宋体" w:eastAsia="宋体" w:cs="宋体"/>
                <w:kern w:val="0"/>
                <w:sz w:val="24"/>
                <w:szCs w:val="24"/>
                <w:lang w:val="en-US" w:eastAsia="zh-CN"/>
              </w:rPr>
              <w:t>公司液晶材料业务</w:t>
            </w:r>
            <w:r>
              <w:rPr>
                <w:rFonts w:hint="eastAsia" w:ascii="宋体" w:hAnsi="宋体" w:cs="宋体"/>
                <w:kern w:val="0"/>
                <w:sz w:val="24"/>
                <w:szCs w:val="24"/>
                <w:lang w:val="en-US" w:eastAsia="zh-CN"/>
              </w:rPr>
              <w:t>2025</w:t>
            </w:r>
            <w:r>
              <w:rPr>
                <w:rFonts w:hint="eastAsia" w:ascii="宋体" w:hAnsi="宋体" w:eastAsia="宋体" w:cs="宋体"/>
                <w:kern w:val="0"/>
                <w:sz w:val="24"/>
                <w:szCs w:val="24"/>
                <w:lang w:val="en-US" w:eastAsia="zh-CN"/>
              </w:rPr>
              <w:t>年度收入</w:t>
            </w:r>
            <w:r>
              <w:rPr>
                <w:rFonts w:hint="eastAsia" w:ascii="宋体" w:hAnsi="宋体" w:cs="宋体"/>
                <w:kern w:val="2"/>
                <w:sz w:val="24"/>
                <w:szCs w:val="24"/>
                <w:lang w:val="en-US" w:eastAsia="zh-CN"/>
              </w:rPr>
              <w:t>较比上年相对稳定</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2026</w:t>
            </w:r>
            <w:r>
              <w:rPr>
                <w:rFonts w:hint="eastAsia" w:ascii="宋体" w:hAnsi="宋体" w:eastAsia="宋体" w:cs="宋体"/>
                <w:kern w:val="0"/>
                <w:sz w:val="24"/>
                <w:szCs w:val="24"/>
                <w:lang w:val="en-US" w:eastAsia="zh-CN"/>
              </w:rPr>
              <w:t>年一季度较比去年同期</w:t>
            </w:r>
            <w:r>
              <w:rPr>
                <w:rFonts w:hint="eastAsia" w:ascii="宋体" w:hAnsi="宋体" w:cs="宋体"/>
                <w:kern w:val="0"/>
                <w:sz w:val="24"/>
                <w:szCs w:val="24"/>
                <w:lang w:val="en-US" w:eastAsia="zh-CN"/>
              </w:rPr>
              <w:t>有所增长</w:t>
            </w:r>
            <w:r>
              <w:rPr>
                <w:rFonts w:hint="eastAsia" w:ascii="宋体" w:hAnsi="宋体" w:eastAsia="宋体" w:cs="宋体"/>
                <w:kern w:val="0"/>
                <w:sz w:val="24"/>
                <w:szCs w:val="24"/>
                <w:lang w:val="en-US" w:eastAsia="zh-CN"/>
              </w:rPr>
              <w:t>。后续市场情况主要与下游</w:t>
            </w:r>
            <w:r>
              <w:rPr>
                <w:rFonts w:ascii="宋体" w:hAnsi="宋体" w:eastAsia="宋体" w:cs="宋体"/>
                <w:sz w:val="24"/>
                <w:szCs w:val="24"/>
              </w:rPr>
              <w:t>终端</w:t>
            </w:r>
            <w:r>
              <w:rPr>
                <w:rFonts w:hint="eastAsia" w:ascii="宋体" w:hAnsi="宋体" w:eastAsia="宋体" w:cs="宋体"/>
                <w:sz w:val="24"/>
                <w:szCs w:val="24"/>
                <w:lang w:eastAsia="zh-CN"/>
              </w:rPr>
              <w:t>中大尺寸显示</w:t>
            </w:r>
            <w:r>
              <w:rPr>
                <w:rFonts w:ascii="宋体" w:hAnsi="宋体" w:eastAsia="宋体" w:cs="宋体"/>
                <w:sz w:val="24"/>
                <w:szCs w:val="24"/>
              </w:rPr>
              <w:t>消费</w:t>
            </w:r>
            <w:r>
              <w:rPr>
                <w:rFonts w:hint="eastAsia" w:ascii="宋体" w:hAnsi="宋体" w:eastAsia="宋体" w:cs="宋体"/>
                <w:kern w:val="0"/>
                <w:sz w:val="24"/>
                <w:szCs w:val="24"/>
                <w:lang w:val="en-US" w:eastAsia="zh-CN"/>
              </w:rPr>
              <w:t>需求情况及混晶与面板销售情况等下游市场因素相关。</w:t>
            </w:r>
          </w:p>
          <w:p w14:paraId="4FDDD074">
            <w:pPr>
              <w:pStyle w:val="2"/>
              <w:rPr>
                <w:rFonts w:hint="eastAsia" w:ascii="宋体" w:hAnsi="宋体" w:eastAsia="宋体" w:cs="宋体"/>
                <w:kern w:val="0"/>
                <w:sz w:val="24"/>
                <w:szCs w:val="24"/>
                <w:lang w:val="en-US" w:eastAsia="zh-CN"/>
              </w:rPr>
            </w:pPr>
          </w:p>
          <w:p w14:paraId="301CEAD5">
            <w:pPr>
              <w:numPr>
                <w:ilvl w:val="0"/>
                <w:numId w:val="0"/>
              </w:numPr>
              <w:tabs>
                <w:tab w:val="left" w:pos="720"/>
              </w:tabs>
              <w:autoSpaceDE w:val="0"/>
              <w:autoSpaceDN w:val="0"/>
              <w:adjustRightInd w:val="0"/>
              <w:spacing w:line="360" w:lineRule="auto"/>
              <w:ind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11、问：公司与京东方成立的合资公司合作情况如何？</w:t>
            </w:r>
          </w:p>
          <w:p w14:paraId="503DF98B">
            <w:pPr>
              <w:numPr>
                <w:ilvl w:val="0"/>
                <w:numId w:val="0"/>
              </w:numPr>
              <w:tabs>
                <w:tab w:val="left" w:pos="720"/>
              </w:tabs>
              <w:spacing w:line="360" w:lineRule="auto"/>
              <w:ind w:firstLine="480" w:firstLineChars="200"/>
              <w:rPr>
                <w:rFonts w:hint="eastAsia" w:ascii="宋体" w:hAnsi="宋体" w:cs="宋体"/>
                <w:b w:val="0"/>
                <w:bCs w:val="0"/>
                <w:kern w:val="0"/>
                <w:sz w:val="24"/>
                <w:szCs w:val="24"/>
                <w:lang w:val="en-US" w:eastAsia="zh-CN"/>
              </w:rPr>
            </w:pPr>
            <w:r>
              <w:rPr>
                <w:rFonts w:hint="eastAsia" w:ascii="宋体" w:hAnsi="宋体" w:eastAsia="宋体" w:cs="宋体"/>
                <w:sz w:val="24"/>
                <w:szCs w:val="24"/>
                <w:lang w:val="en-US" w:eastAsia="zh-CN"/>
              </w:rPr>
              <w:t>答：</w:t>
            </w:r>
            <w:r>
              <w:rPr>
                <w:rFonts w:hint="eastAsia" w:ascii="宋体" w:hAnsi="宋体" w:cs="宋体"/>
                <w:b w:val="0"/>
                <w:bCs w:val="0"/>
                <w:kern w:val="0"/>
                <w:sz w:val="24"/>
                <w:szCs w:val="24"/>
                <w:lang w:val="en-US" w:eastAsia="zh-CN"/>
              </w:rPr>
              <w:t>目前</w:t>
            </w:r>
            <w:r>
              <w:rPr>
                <w:rFonts w:hint="eastAsia" w:ascii="宋体" w:hAnsi="宋体" w:eastAsia="宋体" w:cs="宋体"/>
                <w:b w:val="0"/>
                <w:bCs w:val="0"/>
                <w:kern w:val="2"/>
                <w:sz w:val="24"/>
                <w:szCs w:val="24"/>
                <w:lang w:val="en-US" w:eastAsia="zh-CN"/>
              </w:rPr>
              <w:t>公司参股的</w:t>
            </w:r>
            <w:r>
              <w:rPr>
                <w:rFonts w:hint="eastAsia" w:ascii="宋体" w:hAnsi="宋体" w:cs="宋体"/>
                <w:b w:val="0"/>
                <w:bCs w:val="0"/>
                <w:kern w:val="0"/>
                <w:sz w:val="24"/>
                <w:szCs w:val="24"/>
                <w:lang w:val="en-US" w:eastAsia="zh-CN"/>
              </w:rPr>
              <w:t>烟台京东方材料科技有限公司产品开发推广等各项工作均在积极推进中，主要的发展方向为电子专用材料的研发与销售业务。公司已与该合资公司</w:t>
            </w:r>
            <w:r>
              <w:rPr>
                <w:rFonts w:hint="eastAsia" w:ascii="宋体" w:hAnsi="宋体" w:eastAsia="宋体" w:cs="宋体"/>
                <w:b w:val="0"/>
                <w:bCs w:val="0"/>
                <w:kern w:val="2"/>
                <w:sz w:val="24"/>
                <w:szCs w:val="24"/>
                <w:lang w:val="en-US" w:eastAsia="zh-CN"/>
              </w:rPr>
              <w:t>开展业务合作，2025</w:t>
            </w:r>
            <w:r>
              <w:rPr>
                <w:rFonts w:hint="eastAsia" w:ascii="宋体" w:hAnsi="宋体" w:cs="宋体"/>
                <w:b w:val="0"/>
                <w:bCs w:val="0"/>
                <w:kern w:val="2"/>
                <w:sz w:val="24"/>
                <w:szCs w:val="24"/>
                <w:lang w:val="en-US" w:eastAsia="zh-CN"/>
              </w:rPr>
              <w:t>年度</w:t>
            </w:r>
            <w:r>
              <w:rPr>
                <w:rFonts w:hint="eastAsia" w:ascii="宋体" w:hAnsi="宋体" w:eastAsia="宋体" w:cs="宋体"/>
                <w:b w:val="0"/>
                <w:bCs w:val="0"/>
                <w:kern w:val="2"/>
                <w:sz w:val="24"/>
                <w:szCs w:val="24"/>
                <w:lang w:val="en-US" w:eastAsia="zh-CN"/>
              </w:rPr>
              <w:t>为公司带来收入</w:t>
            </w:r>
            <w:r>
              <w:rPr>
                <w:rFonts w:hint="eastAsia" w:ascii="宋体" w:hAnsi="宋体" w:eastAsia="宋体" w:cs="宋体"/>
                <w:sz w:val="24"/>
                <w:szCs w:val="24"/>
                <w:lang w:val="en-US" w:eastAsia="zh-CN"/>
              </w:rPr>
              <w:t>1,252.12万元</w:t>
            </w:r>
            <w:r>
              <w:rPr>
                <w:rFonts w:hint="eastAsia" w:ascii="宋体" w:hAnsi="宋体" w:eastAsia="宋体" w:cs="宋体"/>
                <w:b w:val="0"/>
                <w:bCs w:val="0"/>
                <w:kern w:val="2"/>
                <w:sz w:val="24"/>
                <w:szCs w:val="24"/>
                <w:lang w:val="en-US" w:eastAsia="zh-CN"/>
              </w:rPr>
              <w:t>。</w:t>
            </w:r>
            <w:r>
              <w:rPr>
                <w:rFonts w:hint="eastAsia" w:ascii="宋体" w:hAnsi="宋体" w:cs="宋体"/>
                <w:b w:val="0"/>
                <w:bCs w:val="0"/>
                <w:kern w:val="0"/>
                <w:sz w:val="24"/>
                <w:szCs w:val="24"/>
                <w:lang w:val="en-US" w:eastAsia="zh-CN"/>
              </w:rPr>
              <w:t>该合资公司的高质量发展有望为公司带来更多市场机会和收入，预计该合资公司2026年将为公司带来更多的市场机会和营业收入。</w:t>
            </w:r>
          </w:p>
          <w:p w14:paraId="2590249B">
            <w:pPr>
              <w:numPr>
                <w:ilvl w:val="0"/>
                <w:numId w:val="0"/>
              </w:numPr>
              <w:tabs>
                <w:tab w:val="left" w:pos="720"/>
              </w:tabs>
              <w:autoSpaceDE w:val="0"/>
              <w:autoSpaceDN w:val="0"/>
              <w:adjustRightInd w:val="0"/>
              <w:spacing w:line="360" w:lineRule="auto"/>
              <w:ind w:firstLine="482" w:firstLineChars="200"/>
              <w:rPr>
                <w:rFonts w:hint="eastAsia" w:ascii="宋体" w:hAnsi="宋体" w:cs="宋体"/>
                <w:b/>
                <w:bCs/>
                <w:kern w:val="0"/>
                <w:sz w:val="24"/>
                <w:szCs w:val="24"/>
                <w:lang w:val="en-US" w:eastAsia="zh-CN"/>
              </w:rPr>
            </w:pPr>
          </w:p>
          <w:p w14:paraId="2EFEDAA5">
            <w:pPr>
              <w:numPr>
                <w:ilvl w:val="0"/>
                <w:numId w:val="0"/>
              </w:numPr>
              <w:tabs>
                <w:tab w:val="left" w:pos="720"/>
              </w:tabs>
              <w:autoSpaceDE w:val="0"/>
              <w:autoSpaceDN w:val="0"/>
              <w:adjustRightInd w:val="0"/>
              <w:spacing w:line="360" w:lineRule="auto"/>
              <w:ind w:firstLine="482" w:firstLineChars="200"/>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12、问：国务院近日发布了《碳达峰碳中和综合评价考核办法》，公司如何响应国家“双碳”的战略？</w:t>
            </w:r>
          </w:p>
          <w:p w14:paraId="0495BEBD">
            <w:pPr>
              <w:numPr>
                <w:ilvl w:val="0"/>
                <w:numId w:val="0"/>
              </w:numPr>
              <w:tabs>
                <w:tab w:val="left" w:pos="720"/>
              </w:tabs>
              <w:autoSpaceDE/>
              <w:autoSpaceDN/>
              <w:adjustRightInd/>
              <w:spacing w:line="360" w:lineRule="auto"/>
              <w:ind w:firstLine="480" w:firstLineChars="200"/>
              <w:rPr>
                <w:rFonts w:hint="eastAsia" w:ascii="宋体" w:hAnsi="宋体" w:cs="宋体"/>
                <w:b w:val="0"/>
                <w:bCs w:val="0"/>
                <w:kern w:val="2"/>
                <w:sz w:val="24"/>
                <w:szCs w:val="24"/>
                <w:lang w:val="en-US" w:eastAsia="zh-CN"/>
              </w:rPr>
            </w:pPr>
            <w:r>
              <w:rPr>
                <w:rFonts w:hint="eastAsia" w:ascii="宋体" w:hAnsi="宋体" w:cs="宋体"/>
                <w:b w:val="0"/>
                <w:bCs w:val="0"/>
                <w:kern w:val="2"/>
                <w:sz w:val="24"/>
                <w:szCs w:val="24"/>
                <w:lang w:val="en-US" w:eastAsia="zh-CN"/>
              </w:rPr>
              <w:t>答：一方面公司通过发展环保材料产业、新能源材料产业响应国家“双碳”战略；另一方面公司自身高度重视“双碳”管理工作，将节能减排融入公司发展战略，通过气候风险识别与评估、碳排放管控、绿色能源替代等多项举措扎实推进节能减排工作，并将相应情况在年度环境、社会与公司治理（ESG）报告中归纳总结。</w:t>
            </w:r>
          </w:p>
          <w:p w14:paraId="75426C4C">
            <w:pPr>
              <w:numPr>
                <w:ilvl w:val="0"/>
                <w:numId w:val="0"/>
              </w:numPr>
              <w:tabs>
                <w:tab w:val="left" w:pos="720"/>
              </w:tabs>
              <w:autoSpaceDE/>
              <w:autoSpaceDN/>
              <w:adjustRightInd/>
              <w:spacing w:line="360" w:lineRule="auto"/>
              <w:ind w:firstLine="480" w:firstLineChars="200"/>
              <w:rPr>
                <w:rFonts w:hint="eastAsia" w:ascii="宋体" w:hAnsi="宋体" w:cs="宋体"/>
                <w:b w:val="0"/>
                <w:bCs w:val="0"/>
                <w:kern w:val="2"/>
                <w:sz w:val="24"/>
                <w:szCs w:val="24"/>
                <w:lang w:val="en-US" w:eastAsia="zh-CN"/>
              </w:rPr>
            </w:pPr>
          </w:p>
          <w:p w14:paraId="2222A991">
            <w:pPr>
              <w:numPr>
                <w:ilvl w:val="0"/>
                <w:numId w:val="0"/>
              </w:numPr>
              <w:tabs>
                <w:tab w:val="left" w:pos="720"/>
              </w:tabs>
              <w:autoSpaceDE w:val="0"/>
              <w:autoSpaceDN w:val="0"/>
              <w:adjustRightInd w:val="0"/>
              <w:spacing w:line="360" w:lineRule="auto"/>
              <w:ind w:firstLine="482" w:firstLineChars="200"/>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13、问：公司氢能产品的发展情况，如果政策方面推行相关材料无氟化是否会有影响？</w:t>
            </w:r>
          </w:p>
          <w:p w14:paraId="2D2476D4">
            <w:pPr>
              <w:numPr>
                <w:ilvl w:val="0"/>
                <w:numId w:val="0"/>
              </w:numPr>
              <w:tabs>
                <w:tab w:val="left" w:pos="720"/>
              </w:tabs>
              <w:spacing w:line="360" w:lineRule="auto"/>
              <w:ind w:firstLine="480" w:firstLineChars="200"/>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答：公司控股子公司九目化学的无氟氢燃料电池质子膜材料目前中试产品持续向下游销售，用于下游应用的开发。若未来从政策层面推行非氟产品，有望产生积极影响。</w:t>
            </w:r>
          </w:p>
          <w:p w14:paraId="1E238291">
            <w:pPr>
              <w:keepNext w:val="0"/>
              <w:keepLines w:val="0"/>
              <w:pageBreakBefore w:val="0"/>
              <w:widowControl w:val="0"/>
              <w:numPr>
                <w:ilvl w:val="0"/>
                <w:numId w:val="0"/>
              </w:numPr>
              <w:tabs>
                <w:tab w:val="left" w:pos="720"/>
              </w:tabs>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b w:val="0"/>
                <w:bCs w:val="0"/>
                <w:kern w:val="0"/>
                <w:sz w:val="24"/>
                <w:szCs w:val="24"/>
                <w:highlight w:val="none"/>
                <w:lang w:val="en-US" w:eastAsia="zh-CN"/>
              </w:rPr>
            </w:pPr>
          </w:p>
        </w:tc>
      </w:tr>
      <w:tr w14:paraId="3900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14:paraId="1755599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color w:val="000000"/>
                <w:kern w:val="0"/>
                <w:sz w:val="24"/>
                <w:szCs w:val="24"/>
              </w:rPr>
            </w:pPr>
            <w:r>
              <w:rPr>
                <w:rFonts w:hint="eastAsia" w:ascii="宋体" w:hAnsi="宋体" w:cs="宋体"/>
                <w:color w:val="000000"/>
                <w:kern w:val="0"/>
                <w:sz w:val="24"/>
                <w:szCs w:val="24"/>
                <w:lang w:val="en-US" w:eastAsia="zh-CN"/>
              </w:rPr>
              <w:t>关于本次活动是否涉及应披露重大信息的说明</w:t>
            </w:r>
          </w:p>
        </w:tc>
        <w:tc>
          <w:tcPr>
            <w:tcW w:w="7800" w:type="dxa"/>
            <w:gridSpan w:val="2"/>
            <w:tcBorders>
              <w:top w:val="single" w:color="auto" w:sz="4" w:space="0"/>
              <w:left w:val="single" w:color="auto" w:sz="4" w:space="0"/>
              <w:bottom w:val="single" w:color="auto" w:sz="4" w:space="0"/>
              <w:right w:val="single" w:color="auto" w:sz="4" w:space="0"/>
            </w:tcBorders>
            <w:vAlign w:val="center"/>
          </w:tcPr>
          <w:p w14:paraId="5A7C9490">
            <w:pPr>
              <w:spacing w:line="480" w:lineRule="atLeast"/>
              <w:jc w:val="both"/>
              <w:rPr>
                <w:rFonts w:hint="eastAsia" w:ascii="宋体" w:eastAsia="宋体"/>
                <w:color w:val="000000"/>
                <w:kern w:val="0"/>
                <w:sz w:val="24"/>
                <w:szCs w:val="24"/>
                <w:lang w:val="en-US" w:eastAsia="zh-CN"/>
              </w:rPr>
            </w:pPr>
            <w:r>
              <w:rPr>
                <w:rFonts w:hint="eastAsia" w:ascii="宋体"/>
                <w:color w:val="000000"/>
                <w:kern w:val="0"/>
                <w:sz w:val="24"/>
                <w:szCs w:val="24"/>
                <w:lang w:val="en-US" w:eastAsia="zh-CN"/>
              </w:rPr>
              <w:t>否</w:t>
            </w:r>
          </w:p>
        </w:tc>
      </w:tr>
      <w:tr w14:paraId="6802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2798" w:type="dxa"/>
            <w:tcBorders>
              <w:top w:val="single" w:color="auto" w:sz="4" w:space="0"/>
              <w:left w:val="single" w:color="auto" w:sz="4" w:space="0"/>
              <w:bottom w:val="single" w:color="auto" w:sz="4" w:space="0"/>
              <w:right w:val="single" w:color="auto" w:sz="4" w:space="0"/>
            </w:tcBorders>
            <w:vAlign w:val="center"/>
          </w:tcPr>
          <w:p w14:paraId="255666F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宋体"/>
                <w:color w:val="000000"/>
                <w:kern w:val="0"/>
                <w:sz w:val="24"/>
                <w:szCs w:val="24"/>
              </w:rPr>
            </w:pPr>
            <w:r>
              <w:rPr>
                <w:rFonts w:hint="eastAsia" w:ascii="宋体" w:hAnsi="宋体" w:cs="宋体"/>
                <w:color w:val="000000"/>
                <w:kern w:val="0"/>
                <w:sz w:val="24"/>
                <w:szCs w:val="24"/>
                <w:lang w:val="en-US" w:eastAsia="zh-CN"/>
              </w:rPr>
              <w:t>活动过程中所使用的演示文稿、提供的文档等附件（如有，可作为附件）</w:t>
            </w:r>
          </w:p>
        </w:tc>
        <w:tc>
          <w:tcPr>
            <w:tcW w:w="7800" w:type="dxa"/>
            <w:gridSpan w:val="2"/>
            <w:tcBorders>
              <w:top w:val="single" w:color="auto" w:sz="4" w:space="0"/>
              <w:left w:val="single" w:color="auto" w:sz="4" w:space="0"/>
              <w:bottom w:val="single" w:color="auto" w:sz="4" w:space="0"/>
              <w:right w:val="single" w:color="auto" w:sz="4" w:space="0"/>
            </w:tcBorders>
            <w:vAlign w:val="center"/>
          </w:tcPr>
          <w:p w14:paraId="09D260BA">
            <w:pPr>
              <w:spacing w:line="480" w:lineRule="atLeast"/>
              <w:jc w:val="both"/>
              <w:rPr>
                <w:rFonts w:hint="eastAsia" w:ascii="宋体" w:eastAsia="宋体"/>
                <w:color w:val="000000"/>
                <w:kern w:val="0"/>
                <w:sz w:val="24"/>
                <w:szCs w:val="24"/>
                <w:lang w:val="en-US" w:eastAsia="zh-CN"/>
              </w:rPr>
            </w:pPr>
            <w:r>
              <w:rPr>
                <w:rFonts w:hint="eastAsia" w:ascii="宋体" w:hAnsi="宋体" w:eastAsia="宋体" w:cs="宋体"/>
                <w:color w:val="000000"/>
                <w:kern w:val="0"/>
                <w:sz w:val="24"/>
                <w:szCs w:val="24"/>
                <w:lang w:val="en-US" w:eastAsia="zh-CN"/>
              </w:rPr>
              <w:t>无</w:t>
            </w:r>
          </w:p>
        </w:tc>
      </w:tr>
    </w:tbl>
    <w:p w14:paraId="0C6A8DCD">
      <w:pPr>
        <w:rPr>
          <w:rFonts w:hint="eastAsia"/>
        </w:rPr>
      </w:pPr>
    </w:p>
    <w:sectPr>
      <w:footerReference r:id="rId3" w:type="default"/>
      <w:pgSz w:w="11906" w:h="16838"/>
      <w:pgMar w:top="1440" w:right="851" w:bottom="144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4A56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84B0BE">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14:paraId="4984B0BE">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YTY1MDhjYTc2NWQ5Yjg5OTA3MDQ1YmQ0MWRiOTAifQ=="/>
  </w:docVars>
  <w:rsids>
    <w:rsidRoot w:val="00667B39"/>
    <w:rsid w:val="000006D2"/>
    <w:rsid w:val="0000662B"/>
    <w:rsid w:val="0001122A"/>
    <w:rsid w:val="000172B8"/>
    <w:rsid w:val="000203E4"/>
    <w:rsid w:val="00022837"/>
    <w:rsid w:val="000242AB"/>
    <w:rsid w:val="000307CD"/>
    <w:rsid w:val="00030DBB"/>
    <w:rsid w:val="0003238E"/>
    <w:rsid w:val="00035B8C"/>
    <w:rsid w:val="00036CE0"/>
    <w:rsid w:val="00037A4D"/>
    <w:rsid w:val="00037DF7"/>
    <w:rsid w:val="00042B60"/>
    <w:rsid w:val="0004422B"/>
    <w:rsid w:val="00047176"/>
    <w:rsid w:val="00047EF7"/>
    <w:rsid w:val="00051BD8"/>
    <w:rsid w:val="00053492"/>
    <w:rsid w:val="00054852"/>
    <w:rsid w:val="0005497F"/>
    <w:rsid w:val="00060E7F"/>
    <w:rsid w:val="000638BF"/>
    <w:rsid w:val="00064BB5"/>
    <w:rsid w:val="00066E9D"/>
    <w:rsid w:val="00070A73"/>
    <w:rsid w:val="00071AC7"/>
    <w:rsid w:val="00077A5F"/>
    <w:rsid w:val="00082672"/>
    <w:rsid w:val="00092CE9"/>
    <w:rsid w:val="00094029"/>
    <w:rsid w:val="000A22B7"/>
    <w:rsid w:val="000A3CAE"/>
    <w:rsid w:val="000B1A35"/>
    <w:rsid w:val="000B71B7"/>
    <w:rsid w:val="000C13EA"/>
    <w:rsid w:val="000C3D6C"/>
    <w:rsid w:val="000D02E4"/>
    <w:rsid w:val="000D1BCD"/>
    <w:rsid w:val="000D4E8C"/>
    <w:rsid w:val="000E2C50"/>
    <w:rsid w:val="000E3EA5"/>
    <w:rsid w:val="000E50AC"/>
    <w:rsid w:val="000E717F"/>
    <w:rsid w:val="00101AD3"/>
    <w:rsid w:val="0010309D"/>
    <w:rsid w:val="0010495A"/>
    <w:rsid w:val="00110025"/>
    <w:rsid w:val="00115584"/>
    <w:rsid w:val="001200BA"/>
    <w:rsid w:val="00120A26"/>
    <w:rsid w:val="001311D8"/>
    <w:rsid w:val="00132D7B"/>
    <w:rsid w:val="00137710"/>
    <w:rsid w:val="00144D8D"/>
    <w:rsid w:val="0014579C"/>
    <w:rsid w:val="001469D8"/>
    <w:rsid w:val="0014705D"/>
    <w:rsid w:val="00162029"/>
    <w:rsid w:val="00163EDD"/>
    <w:rsid w:val="001642C3"/>
    <w:rsid w:val="00170897"/>
    <w:rsid w:val="00171EEE"/>
    <w:rsid w:val="00173EA4"/>
    <w:rsid w:val="00174FF1"/>
    <w:rsid w:val="00176460"/>
    <w:rsid w:val="001803E8"/>
    <w:rsid w:val="001807E5"/>
    <w:rsid w:val="00180BB8"/>
    <w:rsid w:val="001838F4"/>
    <w:rsid w:val="00192C6C"/>
    <w:rsid w:val="00194C05"/>
    <w:rsid w:val="001961F1"/>
    <w:rsid w:val="00196979"/>
    <w:rsid w:val="001973FD"/>
    <w:rsid w:val="001A15CB"/>
    <w:rsid w:val="001A59EA"/>
    <w:rsid w:val="001A5B65"/>
    <w:rsid w:val="001B584B"/>
    <w:rsid w:val="001B5E2E"/>
    <w:rsid w:val="001C2B11"/>
    <w:rsid w:val="001E1A30"/>
    <w:rsid w:val="001F0A62"/>
    <w:rsid w:val="001F17CF"/>
    <w:rsid w:val="001F2822"/>
    <w:rsid w:val="001F2BFE"/>
    <w:rsid w:val="001F2DE7"/>
    <w:rsid w:val="001F582B"/>
    <w:rsid w:val="0020228A"/>
    <w:rsid w:val="00202ED5"/>
    <w:rsid w:val="00204A5F"/>
    <w:rsid w:val="00206BDA"/>
    <w:rsid w:val="002103E8"/>
    <w:rsid w:val="002220B4"/>
    <w:rsid w:val="00224455"/>
    <w:rsid w:val="00235DA8"/>
    <w:rsid w:val="002372E2"/>
    <w:rsid w:val="00237334"/>
    <w:rsid w:val="0024257F"/>
    <w:rsid w:val="0024718E"/>
    <w:rsid w:val="002501B5"/>
    <w:rsid w:val="00251A09"/>
    <w:rsid w:val="00254EC0"/>
    <w:rsid w:val="00255BE3"/>
    <w:rsid w:val="002620BF"/>
    <w:rsid w:val="0027285B"/>
    <w:rsid w:val="002745E7"/>
    <w:rsid w:val="0027555D"/>
    <w:rsid w:val="00275CE7"/>
    <w:rsid w:val="00281E33"/>
    <w:rsid w:val="00283347"/>
    <w:rsid w:val="00284F8D"/>
    <w:rsid w:val="002942DF"/>
    <w:rsid w:val="002950FA"/>
    <w:rsid w:val="002A0593"/>
    <w:rsid w:val="002A13F7"/>
    <w:rsid w:val="002A5A89"/>
    <w:rsid w:val="002C1873"/>
    <w:rsid w:val="002C4489"/>
    <w:rsid w:val="002C61EA"/>
    <w:rsid w:val="002D0E14"/>
    <w:rsid w:val="002D19EB"/>
    <w:rsid w:val="002D4A75"/>
    <w:rsid w:val="002D5422"/>
    <w:rsid w:val="002D6389"/>
    <w:rsid w:val="002D6C33"/>
    <w:rsid w:val="002E3D32"/>
    <w:rsid w:val="002F71F1"/>
    <w:rsid w:val="00300FB9"/>
    <w:rsid w:val="00316295"/>
    <w:rsid w:val="0032322C"/>
    <w:rsid w:val="00327F48"/>
    <w:rsid w:val="0033441D"/>
    <w:rsid w:val="00353092"/>
    <w:rsid w:val="0035361B"/>
    <w:rsid w:val="00353A2F"/>
    <w:rsid w:val="00353EE0"/>
    <w:rsid w:val="00357593"/>
    <w:rsid w:val="003609D2"/>
    <w:rsid w:val="0037050D"/>
    <w:rsid w:val="00371867"/>
    <w:rsid w:val="00376D69"/>
    <w:rsid w:val="0037733E"/>
    <w:rsid w:val="0037786A"/>
    <w:rsid w:val="003804EF"/>
    <w:rsid w:val="00382D8F"/>
    <w:rsid w:val="00382E7F"/>
    <w:rsid w:val="00391FF1"/>
    <w:rsid w:val="003A0A03"/>
    <w:rsid w:val="003A0EDA"/>
    <w:rsid w:val="003A2190"/>
    <w:rsid w:val="003A2369"/>
    <w:rsid w:val="003B2038"/>
    <w:rsid w:val="003C39F2"/>
    <w:rsid w:val="003D09ED"/>
    <w:rsid w:val="003D1FDE"/>
    <w:rsid w:val="003D2C5F"/>
    <w:rsid w:val="003D39C1"/>
    <w:rsid w:val="003D607B"/>
    <w:rsid w:val="003D6FC6"/>
    <w:rsid w:val="003D756A"/>
    <w:rsid w:val="003E3573"/>
    <w:rsid w:val="003E785B"/>
    <w:rsid w:val="003F0DCF"/>
    <w:rsid w:val="003F2A8F"/>
    <w:rsid w:val="00402321"/>
    <w:rsid w:val="004031B9"/>
    <w:rsid w:val="00410CCD"/>
    <w:rsid w:val="00416994"/>
    <w:rsid w:val="004257E0"/>
    <w:rsid w:val="00427689"/>
    <w:rsid w:val="004310A5"/>
    <w:rsid w:val="0043338E"/>
    <w:rsid w:val="004408EB"/>
    <w:rsid w:val="004438FB"/>
    <w:rsid w:val="00444543"/>
    <w:rsid w:val="00451644"/>
    <w:rsid w:val="00460401"/>
    <w:rsid w:val="0046770A"/>
    <w:rsid w:val="00467AD3"/>
    <w:rsid w:val="004713E0"/>
    <w:rsid w:val="00473F6F"/>
    <w:rsid w:val="004744D3"/>
    <w:rsid w:val="004938D1"/>
    <w:rsid w:val="004A023A"/>
    <w:rsid w:val="004A07D4"/>
    <w:rsid w:val="004A0C36"/>
    <w:rsid w:val="004A23D6"/>
    <w:rsid w:val="004A2D3E"/>
    <w:rsid w:val="004B0ADA"/>
    <w:rsid w:val="004B2387"/>
    <w:rsid w:val="004B2640"/>
    <w:rsid w:val="004B2B92"/>
    <w:rsid w:val="004B2FD0"/>
    <w:rsid w:val="004B378E"/>
    <w:rsid w:val="004D4BB8"/>
    <w:rsid w:val="004E05D6"/>
    <w:rsid w:val="004E392E"/>
    <w:rsid w:val="004E6319"/>
    <w:rsid w:val="004E7077"/>
    <w:rsid w:val="004E7D37"/>
    <w:rsid w:val="004F00B9"/>
    <w:rsid w:val="004F0B1B"/>
    <w:rsid w:val="004F27E2"/>
    <w:rsid w:val="004F4A0E"/>
    <w:rsid w:val="004F598A"/>
    <w:rsid w:val="005048F1"/>
    <w:rsid w:val="005051A3"/>
    <w:rsid w:val="00505546"/>
    <w:rsid w:val="005069E1"/>
    <w:rsid w:val="00506F55"/>
    <w:rsid w:val="00512B3E"/>
    <w:rsid w:val="005220C9"/>
    <w:rsid w:val="0052342F"/>
    <w:rsid w:val="005260CF"/>
    <w:rsid w:val="005318A8"/>
    <w:rsid w:val="00533899"/>
    <w:rsid w:val="00534EF4"/>
    <w:rsid w:val="0053527F"/>
    <w:rsid w:val="00553665"/>
    <w:rsid w:val="00563B5D"/>
    <w:rsid w:val="0057298C"/>
    <w:rsid w:val="00573F2F"/>
    <w:rsid w:val="00576E8D"/>
    <w:rsid w:val="005830FD"/>
    <w:rsid w:val="00585FC7"/>
    <w:rsid w:val="00594CC3"/>
    <w:rsid w:val="005A15F4"/>
    <w:rsid w:val="005A4381"/>
    <w:rsid w:val="005A6411"/>
    <w:rsid w:val="005B12E8"/>
    <w:rsid w:val="005B5A94"/>
    <w:rsid w:val="005C6198"/>
    <w:rsid w:val="005D11D5"/>
    <w:rsid w:val="005D1669"/>
    <w:rsid w:val="005D2B16"/>
    <w:rsid w:val="005D561B"/>
    <w:rsid w:val="005D68CE"/>
    <w:rsid w:val="005E3475"/>
    <w:rsid w:val="005E3A24"/>
    <w:rsid w:val="005E6367"/>
    <w:rsid w:val="005F5437"/>
    <w:rsid w:val="00602422"/>
    <w:rsid w:val="0060397B"/>
    <w:rsid w:val="00614590"/>
    <w:rsid w:val="006163BC"/>
    <w:rsid w:val="006173DD"/>
    <w:rsid w:val="0062293A"/>
    <w:rsid w:val="00624D3B"/>
    <w:rsid w:val="00625874"/>
    <w:rsid w:val="00630E3D"/>
    <w:rsid w:val="00630E5E"/>
    <w:rsid w:val="006620D1"/>
    <w:rsid w:val="00667B39"/>
    <w:rsid w:val="00675481"/>
    <w:rsid w:val="006764DC"/>
    <w:rsid w:val="0068044A"/>
    <w:rsid w:val="0068263B"/>
    <w:rsid w:val="006912B8"/>
    <w:rsid w:val="006939C9"/>
    <w:rsid w:val="006A1E19"/>
    <w:rsid w:val="006B07EE"/>
    <w:rsid w:val="006B4194"/>
    <w:rsid w:val="006B74D9"/>
    <w:rsid w:val="006C3D58"/>
    <w:rsid w:val="006C4CD8"/>
    <w:rsid w:val="006C5081"/>
    <w:rsid w:val="006C587B"/>
    <w:rsid w:val="006C6102"/>
    <w:rsid w:val="006C6E6C"/>
    <w:rsid w:val="006C6E8F"/>
    <w:rsid w:val="006C78AF"/>
    <w:rsid w:val="006D039B"/>
    <w:rsid w:val="006D2828"/>
    <w:rsid w:val="006D34EE"/>
    <w:rsid w:val="006E0257"/>
    <w:rsid w:val="006E3EFA"/>
    <w:rsid w:val="006E5911"/>
    <w:rsid w:val="006E7466"/>
    <w:rsid w:val="006F5A21"/>
    <w:rsid w:val="00700F5D"/>
    <w:rsid w:val="007107FE"/>
    <w:rsid w:val="00711A36"/>
    <w:rsid w:val="00724897"/>
    <w:rsid w:val="00727D67"/>
    <w:rsid w:val="00727D86"/>
    <w:rsid w:val="007325BC"/>
    <w:rsid w:val="00737333"/>
    <w:rsid w:val="0073778C"/>
    <w:rsid w:val="0074142A"/>
    <w:rsid w:val="00743B15"/>
    <w:rsid w:val="007514AA"/>
    <w:rsid w:val="0075226B"/>
    <w:rsid w:val="0075390D"/>
    <w:rsid w:val="007568A3"/>
    <w:rsid w:val="007569D2"/>
    <w:rsid w:val="00757CA1"/>
    <w:rsid w:val="007620D8"/>
    <w:rsid w:val="00770A88"/>
    <w:rsid w:val="00775CE3"/>
    <w:rsid w:val="007815AE"/>
    <w:rsid w:val="0079071E"/>
    <w:rsid w:val="00796E21"/>
    <w:rsid w:val="007A2D43"/>
    <w:rsid w:val="007A35BD"/>
    <w:rsid w:val="007A4407"/>
    <w:rsid w:val="007B283F"/>
    <w:rsid w:val="007B5623"/>
    <w:rsid w:val="007B7141"/>
    <w:rsid w:val="007C12B4"/>
    <w:rsid w:val="007C4A87"/>
    <w:rsid w:val="007C72B9"/>
    <w:rsid w:val="007D1519"/>
    <w:rsid w:val="007D2B12"/>
    <w:rsid w:val="007D3A11"/>
    <w:rsid w:val="007D47D9"/>
    <w:rsid w:val="007E08BC"/>
    <w:rsid w:val="007E2218"/>
    <w:rsid w:val="007E7101"/>
    <w:rsid w:val="007F5FC1"/>
    <w:rsid w:val="008002FE"/>
    <w:rsid w:val="008005C9"/>
    <w:rsid w:val="00804579"/>
    <w:rsid w:val="00813C12"/>
    <w:rsid w:val="0081728D"/>
    <w:rsid w:val="008212AE"/>
    <w:rsid w:val="00821E35"/>
    <w:rsid w:val="00825B20"/>
    <w:rsid w:val="00827ADE"/>
    <w:rsid w:val="008306B3"/>
    <w:rsid w:val="00830FAF"/>
    <w:rsid w:val="0083154D"/>
    <w:rsid w:val="00832B38"/>
    <w:rsid w:val="00840473"/>
    <w:rsid w:val="008409DE"/>
    <w:rsid w:val="0085174E"/>
    <w:rsid w:val="0085220F"/>
    <w:rsid w:val="00853839"/>
    <w:rsid w:val="00854D02"/>
    <w:rsid w:val="008551FE"/>
    <w:rsid w:val="00865A65"/>
    <w:rsid w:val="00873750"/>
    <w:rsid w:val="00876279"/>
    <w:rsid w:val="00877FCD"/>
    <w:rsid w:val="00884158"/>
    <w:rsid w:val="00885451"/>
    <w:rsid w:val="00886924"/>
    <w:rsid w:val="00886BCD"/>
    <w:rsid w:val="008919C5"/>
    <w:rsid w:val="0089382C"/>
    <w:rsid w:val="008A5789"/>
    <w:rsid w:val="008A76EA"/>
    <w:rsid w:val="008B2386"/>
    <w:rsid w:val="008D2631"/>
    <w:rsid w:val="008D49AF"/>
    <w:rsid w:val="008D5CC5"/>
    <w:rsid w:val="008D62C5"/>
    <w:rsid w:val="008D7D4E"/>
    <w:rsid w:val="008E0992"/>
    <w:rsid w:val="008E3D3B"/>
    <w:rsid w:val="008E4311"/>
    <w:rsid w:val="008E66C1"/>
    <w:rsid w:val="008E79AC"/>
    <w:rsid w:val="008F422A"/>
    <w:rsid w:val="009010A1"/>
    <w:rsid w:val="00902D94"/>
    <w:rsid w:val="00904F01"/>
    <w:rsid w:val="00905666"/>
    <w:rsid w:val="009076BD"/>
    <w:rsid w:val="00907C51"/>
    <w:rsid w:val="0091778F"/>
    <w:rsid w:val="009178F1"/>
    <w:rsid w:val="00923977"/>
    <w:rsid w:val="00926E97"/>
    <w:rsid w:val="00927A01"/>
    <w:rsid w:val="00933A75"/>
    <w:rsid w:val="00934747"/>
    <w:rsid w:val="00935414"/>
    <w:rsid w:val="00941F18"/>
    <w:rsid w:val="0094795F"/>
    <w:rsid w:val="0095207D"/>
    <w:rsid w:val="00953A41"/>
    <w:rsid w:val="00953FD5"/>
    <w:rsid w:val="00956108"/>
    <w:rsid w:val="00956B21"/>
    <w:rsid w:val="009601DC"/>
    <w:rsid w:val="00960262"/>
    <w:rsid w:val="009611B3"/>
    <w:rsid w:val="009660B3"/>
    <w:rsid w:val="00967395"/>
    <w:rsid w:val="00970739"/>
    <w:rsid w:val="00973050"/>
    <w:rsid w:val="0097344C"/>
    <w:rsid w:val="009748B1"/>
    <w:rsid w:val="009846B5"/>
    <w:rsid w:val="009865DC"/>
    <w:rsid w:val="009877E8"/>
    <w:rsid w:val="00987CFB"/>
    <w:rsid w:val="009A56B6"/>
    <w:rsid w:val="009B2F65"/>
    <w:rsid w:val="009B47CC"/>
    <w:rsid w:val="009C00D1"/>
    <w:rsid w:val="009C1309"/>
    <w:rsid w:val="009C1977"/>
    <w:rsid w:val="009C3D41"/>
    <w:rsid w:val="009D3C8A"/>
    <w:rsid w:val="009D4CD4"/>
    <w:rsid w:val="009E79AA"/>
    <w:rsid w:val="009F3091"/>
    <w:rsid w:val="009F37E4"/>
    <w:rsid w:val="00A02C4D"/>
    <w:rsid w:val="00A02FC1"/>
    <w:rsid w:val="00A03073"/>
    <w:rsid w:val="00A34431"/>
    <w:rsid w:val="00A36E3A"/>
    <w:rsid w:val="00A37A6B"/>
    <w:rsid w:val="00A416C8"/>
    <w:rsid w:val="00A45372"/>
    <w:rsid w:val="00A46090"/>
    <w:rsid w:val="00A51068"/>
    <w:rsid w:val="00A52042"/>
    <w:rsid w:val="00A5379D"/>
    <w:rsid w:val="00A53C87"/>
    <w:rsid w:val="00A56BB9"/>
    <w:rsid w:val="00A62A43"/>
    <w:rsid w:val="00A62EA6"/>
    <w:rsid w:val="00A72107"/>
    <w:rsid w:val="00A83BA6"/>
    <w:rsid w:val="00A85E27"/>
    <w:rsid w:val="00A87F9A"/>
    <w:rsid w:val="00A90354"/>
    <w:rsid w:val="00A94694"/>
    <w:rsid w:val="00A94835"/>
    <w:rsid w:val="00AA265C"/>
    <w:rsid w:val="00AB1321"/>
    <w:rsid w:val="00AB2658"/>
    <w:rsid w:val="00AC4358"/>
    <w:rsid w:val="00AC7B39"/>
    <w:rsid w:val="00AD0FA3"/>
    <w:rsid w:val="00AD2F38"/>
    <w:rsid w:val="00AE3043"/>
    <w:rsid w:val="00AE4AB2"/>
    <w:rsid w:val="00AF041F"/>
    <w:rsid w:val="00AF08B4"/>
    <w:rsid w:val="00AF647F"/>
    <w:rsid w:val="00B11D5B"/>
    <w:rsid w:val="00B16769"/>
    <w:rsid w:val="00B17399"/>
    <w:rsid w:val="00B1756A"/>
    <w:rsid w:val="00B31DD1"/>
    <w:rsid w:val="00B4357C"/>
    <w:rsid w:val="00B45B2C"/>
    <w:rsid w:val="00B47300"/>
    <w:rsid w:val="00B52C4E"/>
    <w:rsid w:val="00B53463"/>
    <w:rsid w:val="00B55546"/>
    <w:rsid w:val="00B6698B"/>
    <w:rsid w:val="00B672F1"/>
    <w:rsid w:val="00B70D2C"/>
    <w:rsid w:val="00B77A5D"/>
    <w:rsid w:val="00B80897"/>
    <w:rsid w:val="00B83E32"/>
    <w:rsid w:val="00B8548B"/>
    <w:rsid w:val="00B8557E"/>
    <w:rsid w:val="00B95435"/>
    <w:rsid w:val="00B96E99"/>
    <w:rsid w:val="00BA0D3C"/>
    <w:rsid w:val="00BA6501"/>
    <w:rsid w:val="00BB0D6D"/>
    <w:rsid w:val="00BB1192"/>
    <w:rsid w:val="00BB1D25"/>
    <w:rsid w:val="00BB4DA0"/>
    <w:rsid w:val="00BB7C61"/>
    <w:rsid w:val="00BC1A08"/>
    <w:rsid w:val="00BC39BF"/>
    <w:rsid w:val="00BC4579"/>
    <w:rsid w:val="00BC58BF"/>
    <w:rsid w:val="00BC5D02"/>
    <w:rsid w:val="00BD0F38"/>
    <w:rsid w:val="00BD4277"/>
    <w:rsid w:val="00BD5BDB"/>
    <w:rsid w:val="00BD7329"/>
    <w:rsid w:val="00BE4F04"/>
    <w:rsid w:val="00BE5ADA"/>
    <w:rsid w:val="00BF0318"/>
    <w:rsid w:val="00BF153A"/>
    <w:rsid w:val="00BF335D"/>
    <w:rsid w:val="00BF5C1A"/>
    <w:rsid w:val="00BF64E3"/>
    <w:rsid w:val="00BF7D1E"/>
    <w:rsid w:val="00C0603D"/>
    <w:rsid w:val="00C06FE0"/>
    <w:rsid w:val="00C1004C"/>
    <w:rsid w:val="00C215A4"/>
    <w:rsid w:val="00C3204D"/>
    <w:rsid w:val="00C3270B"/>
    <w:rsid w:val="00C3276A"/>
    <w:rsid w:val="00C33D54"/>
    <w:rsid w:val="00C35A0B"/>
    <w:rsid w:val="00C42C41"/>
    <w:rsid w:val="00C43924"/>
    <w:rsid w:val="00C45321"/>
    <w:rsid w:val="00C4789C"/>
    <w:rsid w:val="00C50BB6"/>
    <w:rsid w:val="00C54E1F"/>
    <w:rsid w:val="00C63FB1"/>
    <w:rsid w:val="00C65723"/>
    <w:rsid w:val="00C66BE7"/>
    <w:rsid w:val="00C66FEC"/>
    <w:rsid w:val="00C70DB8"/>
    <w:rsid w:val="00C80B06"/>
    <w:rsid w:val="00C85E12"/>
    <w:rsid w:val="00CA0710"/>
    <w:rsid w:val="00CA0B74"/>
    <w:rsid w:val="00CA12D9"/>
    <w:rsid w:val="00CA3232"/>
    <w:rsid w:val="00CA3408"/>
    <w:rsid w:val="00CB135C"/>
    <w:rsid w:val="00CB2286"/>
    <w:rsid w:val="00CB37CC"/>
    <w:rsid w:val="00CB4750"/>
    <w:rsid w:val="00CB5967"/>
    <w:rsid w:val="00CB7FB3"/>
    <w:rsid w:val="00CC7EEB"/>
    <w:rsid w:val="00CD1672"/>
    <w:rsid w:val="00CD5BF9"/>
    <w:rsid w:val="00CD7EBB"/>
    <w:rsid w:val="00CE3CAE"/>
    <w:rsid w:val="00CF3B78"/>
    <w:rsid w:val="00CF4FC4"/>
    <w:rsid w:val="00CF515F"/>
    <w:rsid w:val="00D0055B"/>
    <w:rsid w:val="00D04DF5"/>
    <w:rsid w:val="00D0761E"/>
    <w:rsid w:val="00D14355"/>
    <w:rsid w:val="00D152C5"/>
    <w:rsid w:val="00D255FE"/>
    <w:rsid w:val="00D31052"/>
    <w:rsid w:val="00D334AD"/>
    <w:rsid w:val="00D4376A"/>
    <w:rsid w:val="00D443DA"/>
    <w:rsid w:val="00D44FF1"/>
    <w:rsid w:val="00D54119"/>
    <w:rsid w:val="00D555A8"/>
    <w:rsid w:val="00D56542"/>
    <w:rsid w:val="00D60485"/>
    <w:rsid w:val="00D6118E"/>
    <w:rsid w:val="00D643F0"/>
    <w:rsid w:val="00D67016"/>
    <w:rsid w:val="00D71101"/>
    <w:rsid w:val="00D7136F"/>
    <w:rsid w:val="00D74276"/>
    <w:rsid w:val="00D74BEC"/>
    <w:rsid w:val="00D763B6"/>
    <w:rsid w:val="00D76A7C"/>
    <w:rsid w:val="00D80691"/>
    <w:rsid w:val="00D825EA"/>
    <w:rsid w:val="00DA2035"/>
    <w:rsid w:val="00DA298E"/>
    <w:rsid w:val="00DA6493"/>
    <w:rsid w:val="00DA6E04"/>
    <w:rsid w:val="00DA7CC5"/>
    <w:rsid w:val="00DB5198"/>
    <w:rsid w:val="00DB6F09"/>
    <w:rsid w:val="00DB6FBD"/>
    <w:rsid w:val="00DC01B9"/>
    <w:rsid w:val="00DC50C3"/>
    <w:rsid w:val="00DC5718"/>
    <w:rsid w:val="00DD16CE"/>
    <w:rsid w:val="00DE5C73"/>
    <w:rsid w:val="00DE6BB4"/>
    <w:rsid w:val="00DF125C"/>
    <w:rsid w:val="00DF49C5"/>
    <w:rsid w:val="00E00655"/>
    <w:rsid w:val="00E055CA"/>
    <w:rsid w:val="00E0701C"/>
    <w:rsid w:val="00E23B1F"/>
    <w:rsid w:val="00E25696"/>
    <w:rsid w:val="00E306FF"/>
    <w:rsid w:val="00E34D08"/>
    <w:rsid w:val="00E52F3A"/>
    <w:rsid w:val="00E6410E"/>
    <w:rsid w:val="00E65F8E"/>
    <w:rsid w:val="00E72F9D"/>
    <w:rsid w:val="00E76C2E"/>
    <w:rsid w:val="00E82067"/>
    <w:rsid w:val="00E82F2B"/>
    <w:rsid w:val="00E854D6"/>
    <w:rsid w:val="00EA0CA1"/>
    <w:rsid w:val="00EA2D44"/>
    <w:rsid w:val="00EC126B"/>
    <w:rsid w:val="00EC1BF0"/>
    <w:rsid w:val="00EC2DEA"/>
    <w:rsid w:val="00EC38CE"/>
    <w:rsid w:val="00ED2C4A"/>
    <w:rsid w:val="00ED5A4C"/>
    <w:rsid w:val="00ED7645"/>
    <w:rsid w:val="00EE2B10"/>
    <w:rsid w:val="00EE30B8"/>
    <w:rsid w:val="00EF5F6D"/>
    <w:rsid w:val="00F062AE"/>
    <w:rsid w:val="00F108EB"/>
    <w:rsid w:val="00F15B44"/>
    <w:rsid w:val="00F16721"/>
    <w:rsid w:val="00F16F6E"/>
    <w:rsid w:val="00F215A3"/>
    <w:rsid w:val="00F23DBC"/>
    <w:rsid w:val="00F24B44"/>
    <w:rsid w:val="00F26BD1"/>
    <w:rsid w:val="00F320AF"/>
    <w:rsid w:val="00F32C82"/>
    <w:rsid w:val="00F33CB2"/>
    <w:rsid w:val="00F40D1E"/>
    <w:rsid w:val="00F443FA"/>
    <w:rsid w:val="00F50CC3"/>
    <w:rsid w:val="00F51BFB"/>
    <w:rsid w:val="00F549D5"/>
    <w:rsid w:val="00F569EB"/>
    <w:rsid w:val="00F71168"/>
    <w:rsid w:val="00F71B89"/>
    <w:rsid w:val="00F72FF4"/>
    <w:rsid w:val="00F77293"/>
    <w:rsid w:val="00F8335E"/>
    <w:rsid w:val="00F93888"/>
    <w:rsid w:val="00F96EFA"/>
    <w:rsid w:val="00F972CC"/>
    <w:rsid w:val="00F97688"/>
    <w:rsid w:val="00FA04B3"/>
    <w:rsid w:val="00FA10A5"/>
    <w:rsid w:val="00FA2186"/>
    <w:rsid w:val="00FA3D1D"/>
    <w:rsid w:val="00FB0ACB"/>
    <w:rsid w:val="00FB5DC6"/>
    <w:rsid w:val="00FB6BE9"/>
    <w:rsid w:val="00FC39D0"/>
    <w:rsid w:val="00FD2313"/>
    <w:rsid w:val="00FD321D"/>
    <w:rsid w:val="00FD7EEC"/>
    <w:rsid w:val="00FE2D52"/>
    <w:rsid w:val="00FE3ECB"/>
    <w:rsid w:val="00FE409D"/>
    <w:rsid w:val="00FE6C54"/>
    <w:rsid w:val="00FE6C60"/>
    <w:rsid w:val="00FE7BE7"/>
    <w:rsid w:val="00FE7D67"/>
    <w:rsid w:val="00FF3A17"/>
    <w:rsid w:val="00FF762E"/>
    <w:rsid w:val="019A7F0B"/>
    <w:rsid w:val="027007F3"/>
    <w:rsid w:val="02730BE3"/>
    <w:rsid w:val="02BD2550"/>
    <w:rsid w:val="02C6508F"/>
    <w:rsid w:val="02C728F6"/>
    <w:rsid w:val="030113F5"/>
    <w:rsid w:val="0318285A"/>
    <w:rsid w:val="03B73C55"/>
    <w:rsid w:val="03D81701"/>
    <w:rsid w:val="03F8160E"/>
    <w:rsid w:val="04A06BF0"/>
    <w:rsid w:val="04A70FD3"/>
    <w:rsid w:val="04E95920"/>
    <w:rsid w:val="051A2E33"/>
    <w:rsid w:val="051C3215"/>
    <w:rsid w:val="052B7CB2"/>
    <w:rsid w:val="05334557"/>
    <w:rsid w:val="053F5429"/>
    <w:rsid w:val="05943EFC"/>
    <w:rsid w:val="061A2449"/>
    <w:rsid w:val="06641C6D"/>
    <w:rsid w:val="067508F8"/>
    <w:rsid w:val="06F42B68"/>
    <w:rsid w:val="070B6B66"/>
    <w:rsid w:val="07850651"/>
    <w:rsid w:val="07BD6D34"/>
    <w:rsid w:val="07EA49A8"/>
    <w:rsid w:val="08032A5C"/>
    <w:rsid w:val="083B23D6"/>
    <w:rsid w:val="085F0EEA"/>
    <w:rsid w:val="0884564C"/>
    <w:rsid w:val="08923706"/>
    <w:rsid w:val="08DB1887"/>
    <w:rsid w:val="090B23EF"/>
    <w:rsid w:val="09666E67"/>
    <w:rsid w:val="09DF1D71"/>
    <w:rsid w:val="0A1A2704"/>
    <w:rsid w:val="0A2D1021"/>
    <w:rsid w:val="0A86681F"/>
    <w:rsid w:val="0A990829"/>
    <w:rsid w:val="0B0F3C25"/>
    <w:rsid w:val="0B216959"/>
    <w:rsid w:val="0B245255"/>
    <w:rsid w:val="0B6977BE"/>
    <w:rsid w:val="0B926E53"/>
    <w:rsid w:val="0BC612CA"/>
    <w:rsid w:val="0BEE077E"/>
    <w:rsid w:val="0C6F00E5"/>
    <w:rsid w:val="0CA13776"/>
    <w:rsid w:val="0CAA75A8"/>
    <w:rsid w:val="0CB25CDE"/>
    <w:rsid w:val="0CD05AA6"/>
    <w:rsid w:val="0CFE21F2"/>
    <w:rsid w:val="0D033682"/>
    <w:rsid w:val="0D356F4B"/>
    <w:rsid w:val="0D5C2762"/>
    <w:rsid w:val="0D5E4FFE"/>
    <w:rsid w:val="0D600FCF"/>
    <w:rsid w:val="0D791CFB"/>
    <w:rsid w:val="0DBC53BA"/>
    <w:rsid w:val="0DCD3CC1"/>
    <w:rsid w:val="0DEF454B"/>
    <w:rsid w:val="0DF85745"/>
    <w:rsid w:val="0E324052"/>
    <w:rsid w:val="0E3512E5"/>
    <w:rsid w:val="0E3E70D4"/>
    <w:rsid w:val="0E6B1369"/>
    <w:rsid w:val="0E757887"/>
    <w:rsid w:val="0E857AB1"/>
    <w:rsid w:val="0E8D1A19"/>
    <w:rsid w:val="0E9234E0"/>
    <w:rsid w:val="0EA72EE5"/>
    <w:rsid w:val="0EE26BBA"/>
    <w:rsid w:val="0EF41453"/>
    <w:rsid w:val="0F3D74C3"/>
    <w:rsid w:val="0FA514BA"/>
    <w:rsid w:val="0FB75ADD"/>
    <w:rsid w:val="0FD96623"/>
    <w:rsid w:val="0FE07621"/>
    <w:rsid w:val="1036507E"/>
    <w:rsid w:val="104D3A38"/>
    <w:rsid w:val="10553E29"/>
    <w:rsid w:val="1066544B"/>
    <w:rsid w:val="109E0DDB"/>
    <w:rsid w:val="10C6568F"/>
    <w:rsid w:val="10DA2114"/>
    <w:rsid w:val="10F8145A"/>
    <w:rsid w:val="11144B04"/>
    <w:rsid w:val="11276A50"/>
    <w:rsid w:val="114C42DF"/>
    <w:rsid w:val="1154294C"/>
    <w:rsid w:val="11550ABC"/>
    <w:rsid w:val="11683DEC"/>
    <w:rsid w:val="11694426"/>
    <w:rsid w:val="11755EC9"/>
    <w:rsid w:val="119412AA"/>
    <w:rsid w:val="11DA5C9E"/>
    <w:rsid w:val="11E61258"/>
    <w:rsid w:val="12486EC1"/>
    <w:rsid w:val="124A2743"/>
    <w:rsid w:val="1256088A"/>
    <w:rsid w:val="12A70B6F"/>
    <w:rsid w:val="12EA5A64"/>
    <w:rsid w:val="13324B0D"/>
    <w:rsid w:val="133D2352"/>
    <w:rsid w:val="137210FB"/>
    <w:rsid w:val="139A4DEB"/>
    <w:rsid w:val="139D6C77"/>
    <w:rsid w:val="13A147D1"/>
    <w:rsid w:val="1402620C"/>
    <w:rsid w:val="1452382D"/>
    <w:rsid w:val="14981F8C"/>
    <w:rsid w:val="14BA2ABB"/>
    <w:rsid w:val="14D52A43"/>
    <w:rsid w:val="14EA3162"/>
    <w:rsid w:val="14EE3DF9"/>
    <w:rsid w:val="15347683"/>
    <w:rsid w:val="153C4D6C"/>
    <w:rsid w:val="15520505"/>
    <w:rsid w:val="156A0E75"/>
    <w:rsid w:val="156B2323"/>
    <w:rsid w:val="157F4A2C"/>
    <w:rsid w:val="15B463D1"/>
    <w:rsid w:val="15DF7350"/>
    <w:rsid w:val="161E0F3C"/>
    <w:rsid w:val="16372730"/>
    <w:rsid w:val="166D4C9E"/>
    <w:rsid w:val="1672048A"/>
    <w:rsid w:val="16E017E8"/>
    <w:rsid w:val="171D25CE"/>
    <w:rsid w:val="172412C5"/>
    <w:rsid w:val="17317127"/>
    <w:rsid w:val="173F3534"/>
    <w:rsid w:val="17423F99"/>
    <w:rsid w:val="175C0923"/>
    <w:rsid w:val="1783099B"/>
    <w:rsid w:val="17D453EA"/>
    <w:rsid w:val="17E50678"/>
    <w:rsid w:val="180A4EC7"/>
    <w:rsid w:val="182131B0"/>
    <w:rsid w:val="18323CD2"/>
    <w:rsid w:val="188F52D8"/>
    <w:rsid w:val="18FD19C8"/>
    <w:rsid w:val="191E4CF6"/>
    <w:rsid w:val="192B4E46"/>
    <w:rsid w:val="192C1EF2"/>
    <w:rsid w:val="1932639B"/>
    <w:rsid w:val="19456898"/>
    <w:rsid w:val="19A94011"/>
    <w:rsid w:val="19DF5378"/>
    <w:rsid w:val="1A1F1F70"/>
    <w:rsid w:val="1A2F1532"/>
    <w:rsid w:val="1A3D3083"/>
    <w:rsid w:val="1A3F6A06"/>
    <w:rsid w:val="1A7D6DE0"/>
    <w:rsid w:val="1A825539"/>
    <w:rsid w:val="1A9912AA"/>
    <w:rsid w:val="1AAE2DE5"/>
    <w:rsid w:val="1AC2525F"/>
    <w:rsid w:val="1AC560CD"/>
    <w:rsid w:val="1AE24A3B"/>
    <w:rsid w:val="1B214C6B"/>
    <w:rsid w:val="1B316D83"/>
    <w:rsid w:val="1B3553A0"/>
    <w:rsid w:val="1B356DB6"/>
    <w:rsid w:val="1B8C2F7C"/>
    <w:rsid w:val="1B943F24"/>
    <w:rsid w:val="1BC122E2"/>
    <w:rsid w:val="1BC57FBA"/>
    <w:rsid w:val="1C085966"/>
    <w:rsid w:val="1C135E39"/>
    <w:rsid w:val="1C290DB4"/>
    <w:rsid w:val="1C47643B"/>
    <w:rsid w:val="1C546ABE"/>
    <w:rsid w:val="1CAE1218"/>
    <w:rsid w:val="1CB304A3"/>
    <w:rsid w:val="1CCD7E94"/>
    <w:rsid w:val="1D0034DB"/>
    <w:rsid w:val="1D103198"/>
    <w:rsid w:val="1D2321EC"/>
    <w:rsid w:val="1D5B621C"/>
    <w:rsid w:val="1D7031FC"/>
    <w:rsid w:val="1DA90758"/>
    <w:rsid w:val="1DC934E2"/>
    <w:rsid w:val="1DD12BE8"/>
    <w:rsid w:val="1DE91751"/>
    <w:rsid w:val="1DF84E52"/>
    <w:rsid w:val="1E0A1364"/>
    <w:rsid w:val="1E213337"/>
    <w:rsid w:val="1E303A22"/>
    <w:rsid w:val="1E4D7D1B"/>
    <w:rsid w:val="1E51771F"/>
    <w:rsid w:val="1E5C39AD"/>
    <w:rsid w:val="1E7352C5"/>
    <w:rsid w:val="1ED53C15"/>
    <w:rsid w:val="1F2F21D1"/>
    <w:rsid w:val="1F3500CC"/>
    <w:rsid w:val="1F365B58"/>
    <w:rsid w:val="1FE25607"/>
    <w:rsid w:val="1FEC380D"/>
    <w:rsid w:val="1FF42923"/>
    <w:rsid w:val="200945ED"/>
    <w:rsid w:val="20121518"/>
    <w:rsid w:val="20373B5B"/>
    <w:rsid w:val="20505AC4"/>
    <w:rsid w:val="20862701"/>
    <w:rsid w:val="20EE356F"/>
    <w:rsid w:val="212E0344"/>
    <w:rsid w:val="213728EF"/>
    <w:rsid w:val="215E6D8B"/>
    <w:rsid w:val="217A6760"/>
    <w:rsid w:val="21933ED0"/>
    <w:rsid w:val="21A06A9E"/>
    <w:rsid w:val="21C06A96"/>
    <w:rsid w:val="21FD4A41"/>
    <w:rsid w:val="22513605"/>
    <w:rsid w:val="225622DF"/>
    <w:rsid w:val="225C2CF9"/>
    <w:rsid w:val="22C439C0"/>
    <w:rsid w:val="22D74270"/>
    <w:rsid w:val="230307BE"/>
    <w:rsid w:val="23134566"/>
    <w:rsid w:val="23571023"/>
    <w:rsid w:val="236A5D28"/>
    <w:rsid w:val="236C13D9"/>
    <w:rsid w:val="237E1DAD"/>
    <w:rsid w:val="23AA0D33"/>
    <w:rsid w:val="23BF51D1"/>
    <w:rsid w:val="23F66FF6"/>
    <w:rsid w:val="24472ACE"/>
    <w:rsid w:val="24512A14"/>
    <w:rsid w:val="248D4283"/>
    <w:rsid w:val="24A96E2C"/>
    <w:rsid w:val="24E355AC"/>
    <w:rsid w:val="250A56A8"/>
    <w:rsid w:val="251D48C1"/>
    <w:rsid w:val="25344AF2"/>
    <w:rsid w:val="25A93834"/>
    <w:rsid w:val="25BE3EA6"/>
    <w:rsid w:val="25CF26C5"/>
    <w:rsid w:val="260A0D42"/>
    <w:rsid w:val="26145057"/>
    <w:rsid w:val="262D1324"/>
    <w:rsid w:val="26331896"/>
    <w:rsid w:val="26373D44"/>
    <w:rsid w:val="26483396"/>
    <w:rsid w:val="267047E0"/>
    <w:rsid w:val="267B0D5C"/>
    <w:rsid w:val="26F45667"/>
    <w:rsid w:val="274D3FF5"/>
    <w:rsid w:val="27783593"/>
    <w:rsid w:val="27865728"/>
    <w:rsid w:val="279735E4"/>
    <w:rsid w:val="27C60B5C"/>
    <w:rsid w:val="282553C1"/>
    <w:rsid w:val="28E5500B"/>
    <w:rsid w:val="294735A4"/>
    <w:rsid w:val="29A42C9B"/>
    <w:rsid w:val="29D73847"/>
    <w:rsid w:val="29E125D8"/>
    <w:rsid w:val="2A0F1568"/>
    <w:rsid w:val="2A167B7D"/>
    <w:rsid w:val="2A2B593B"/>
    <w:rsid w:val="2A312225"/>
    <w:rsid w:val="2A8820F8"/>
    <w:rsid w:val="2AB11139"/>
    <w:rsid w:val="2B022A53"/>
    <w:rsid w:val="2B0701C0"/>
    <w:rsid w:val="2B1A2428"/>
    <w:rsid w:val="2B1A5AD2"/>
    <w:rsid w:val="2B7A34E5"/>
    <w:rsid w:val="2B8E6D38"/>
    <w:rsid w:val="2B9A04A5"/>
    <w:rsid w:val="2BB721D6"/>
    <w:rsid w:val="2BC56137"/>
    <w:rsid w:val="2BF01901"/>
    <w:rsid w:val="2C074DC9"/>
    <w:rsid w:val="2C4243D7"/>
    <w:rsid w:val="2C71470E"/>
    <w:rsid w:val="2CB5169A"/>
    <w:rsid w:val="2CC57E91"/>
    <w:rsid w:val="2CF663C7"/>
    <w:rsid w:val="2D197BD1"/>
    <w:rsid w:val="2D483CEA"/>
    <w:rsid w:val="2D63690A"/>
    <w:rsid w:val="2DB86270"/>
    <w:rsid w:val="2E0E3A53"/>
    <w:rsid w:val="2E266CAB"/>
    <w:rsid w:val="2E4E396D"/>
    <w:rsid w:val="2E843077"/>
    <w:rsid w:val="2E88523B"/>
    <w:rsid w:val="2E9118B4"/>
    <w:rsid w:val="2ED24D92"/>
    <w:rsid w:val="2F123238"/>
    <w:rsid w:val="2F1D72A2"/>
    <w:rsid w:val="2F2C0562"/>
    <w:rsid w:val="2F724234"/>
    <w:rsid w:val="2F864494"/>
    <w:rsid w:val="303F5B52"/>
    <w:rsid w:val="30415886"/>
    <w:rsid w:val="31021EAA"/>
    <w:rsid w:val="3105531F"/>
    <w:rsid w:val="31565409"/>
    <w:rsid w:val="31607959"/>
    <w:rsid w:val="317A1ED5"/>
    <w:rsid w:val="32387149"/>
    <w:rsid w:val="323D4DDE"/>
    <w:rsid w:val="32466CAB"/>
    <w:rsid w:val="329806D7"/>
    <w:rsid w:val="32B670C6"/>
    <w:rsid w:val="32FF3174"/>
    <w:rsid w:val="33206B41"/>
    <w:rsid w:val="3360382B"/>
    <w:rsid w:val="337B6F25"/>
    <w:rsid w:val="345F30E4"/>
    <w:rsid w:val="348833DA"/>
    <w:rsid w:val="34A528B9"/>
    <w:rsid w:val="35003060"/>
    <w:rsid w:val="35143992"/>
    <w:rsid w:val="351A3BB7"/>
    <w:rsid w:val="353111E8"/>
    <w:rsid w:val="3531463B"/>
    <w:rsid w:val="354F52BF"/>
    <w:rsid w:val="35564ADA"/>
    <w:rsid w:val="355C77D5"/>
    <w:rsid w:val="355D06F3"/>
    <w:rsid w:val="3586396A"/>
    <w:rsid w:val="36D36DF1"/>
    <w:rsid w:val="37034732"/>
    <w:rsid w:val="372B32A4"/>
    <w:rsid w:val="37465C1B"/>
    <w:rsid w:val="37505E44"/>
    <w:rsid w:val="37C3625C"/>
    <w:rsid w:val="37C562CE"/>
    <w:rsid w:val="37FC482F"/>
    <w:rsid w:val="38614E77"/>
    <w:rsid w:val="38734AC4"/>
    <w:rsid w:val="387D2129"/>
    <w:rsid w:val="38821C97"/>
    <w:rsid w:val="3888313E"/>
    <w:rsid w:val="38C53A27"/>
    <w:rsid w:val="39194744"/>
    <w:rsid w:val="391F701E"/>
    <w:rsid w:val="392340AF"/>
    <w:rsid w:val="392F2CE1"/>
    <w:rsid w:val="395767D6"/>
    <w:rsid w:val="396E6B72"/>
    <w:rsid w:val="397359A3"/>
    <w:rsid w:val="39D9187B"/>
    <w:rsid w:val="39DC52FC"/>
    <w:rsid w:val="39E624F9"/>
    <w:rsid w:val="3A1866FF"/>
    <w:rsid w:val="3AA40077"/>
    <w:rsid w:val="3AB26024"/>
    <w:rsid w:val="3AC65DE8"/>
    <w:rsid w:val="3ACA37D1"/>
    <w:rsid w:val="3AD63E15"/>
    <w:rsid w:val="3B1874C8"/>
    <w:rsid w:val="3B2657A5"/>
    <w:rsid w:val="3B3219C7"/>
    <w:rsid w:val="3B522A3F"/>
    <w:rsid w:val="3B9E00AB"/>
    <w:rsid w:val="3BA76F73"/>
    <w:rsid w:val="3C74798C"/>
    <w:rsid w:val="3CA40B9B"/>
    <w:rsid w:val="3CE103A5"/>
    <w:rsid w:val="3CEA5CCD"/>
    <w:rsid w:val="3D023DA9"/>
    <w:rsid w:val="3D304DF3"/>
    <w:rsid w:val="3D3C39E9"/>
    <w:rsid w:val="3D3D5195"/>
    <w:rsid w:val="3D5809BF"/>
    <w:rsid w:val="3D5840B4"/>
    <w:rsid w:val="3D8056C1"/>
    <w:rsid w:val="3D8250CD"/>
    <w:rsid w:val="3D886B18"/>
    <w:rsid w:val="3D8D6C73"/>
    <w:rsid w:val="3DAA06EA"/>
    <w:rsid w:val="3DB72B10"/>
    <w:rsid w:val="3DD5450A"/>
    <w:rsid w:val="3DD64AAF"/>
    <w:rsid w:val="3E0428DD"/>
    <w:rsid w:val="3E686071"/>
    <w:rsid w:val="3EAA6D61"/>
    <w:rsid w:val="3EF2562A"/>
    <w:rsid w:val="3F081063"/>
    <w:rsid w:val="3F146478"/>
    <w:rsid w:val="3F334F59"/>
    <w:rsid w:val="3F474B64"/>
    <w:rsid w:val="3F6F58B5"/>
    <w:rsid w:val="3FC848E6"/>
    <w:rsid w:val="40072094"/>
    <w:rsid w:val="403E0A9D"/>
    <w:rsid w:val="40661336"/>
    <w:rsid w:val="40B23BE6"/>
    <w:rsid w:val="410A19BD"/>
    <w:rsid w:val="41134F23"/>
    <w:rsid w:val="412916E7"/>
    <w:rsid w:val="413A03B5"/>
    <w:rsid w:val="414E3A45"/>
    <w:rsid w:val="415A50AF"/>
    <w:rsid w:val="41874A60"/>
    <w:rsid w:val="41DC5E77"/>
    <w:rsid w:val="41E56D65"/>
    <w:rsid w:val="41F84D68"/>
    <w:rsid w:val="41FD5E23"/>
    <w:rsid w:val="422C3859"/>
    <w:rsid w:val="423D7C1E"/>
    <w:rsid w:val="42470693"/>
    <w:rsid w:val="424C4FE3"/>
    <w:rsid w:val="4258271B"/>
    <w:rsid w:val="425F073A"/>
    <w:rsid w:val="426E3DF0"/>
    <w:rsid w:val="426F64C9"/>
    <w:rsid w:val="42AC3492"/>
    <w:rsid w:val="42DE7246"/>
    <w:rsid w:val="433927C2"/>
    <w:rsid w:val="43892132"/>
    <w:rsid w:val="43E70741"/>
    <w:rsid w:val="44001A5E"/>
    <w:rsid w:val="446641FC"/>
    <w:rsid w:val="44BC1927"/>
    <w:rsid w:val="452A6F84"/>
    <w:rsid w:val="45652C74"/>
    <w:rsid w:val="456C67DF"/>
    <w:rsid w:val="45BD746F"/>
    <w:rsid w:val="45F469CB"/>
    <w:rsid w:val="46120782"/>
    <w:rsid w:val="463860E8"/>
    <w:rsid w:val="464253F9"/>
    <w:rsid w:val="46461124"/>
    <w:rsid w:val="466B182E"/>
    <w:rsid w:val="469524E8"/>
    <w:rsid w:val="46B42AA5"/>
    <w:rsid w:val="46C549B6"/>
    <w:rsid w:val="46F076EF"/>
    <w:rsid w:val="46F5605C"/>
    <w:rsid w:val="4715323E"/>
    <w:rsid w:val="47414DD9"/>
    <w:rsid w:val="47700CDF"/>
    <w:rsid w:val="479467E8"/>
    <w:rsid w:val="479B4CF7"/>
    <w:rsid w:val="47C344EE"/>
    <w:rsid w:val="47F87462"/>
    <w:rsid w:val="47FD127E"/>
    <w:rsid w:val="48025917"/>
    <w:rsid w:val="480F2E5A"/>
    <w:rsid w:val="482663FF"/>
    <w:rsid w:val="48314608"/>
    <w:rsid w:val="484A6294"/>
    <w:rsid w:val="488F2CC7"/>
    <w:rsid w:val="48A01254"/>
    <w:rsid w:val="48A407E6"/>
    <w:rsid w:val="48CF371A"/>
    <w:rsid w:val="48E11D5B"/>
    <w:rsid w:val="48F50606"/>
    <w:rsid w:val="493756E2"/>
    <w:rsid w:val="494B1258"/>
    <w:rsid w:val="496550AC"/>
    <w:rsid w:val="49D46CB0"/>
    <w:rsid w:val="49F1338C"/>
    <w:rsid w:val="49F51014"/>
    <w:rsid w:val="49FA4CE4"/>
    <w:rsid w:val="49FC2FC3"/>
    <w:rsid w:val="4A2B243B"/>
    <w:rsid w:val="4A5B53B1"/>
    <w:rsid w:val="4A800BE6"/>
    <w:rsid w:val="4AC736CE"/>
    <w:rsid w:val="4ACC30A4"/>
    <w:rsid w:val="4AF87B42"/>
    <w:rsid w:val="4B225D19"/>
    <w:rsid w:val="4B4A6C4E"/>
    <w:rsid w:val="4B544FB7"/>
    <w:rsid w:val="4B5654B0"/>
    <w:rsid w:val="4BE808F6"/>
    <w:rsid w:val="4C054C98"/>
    <w:rsid w:val="4C580C3F"/>
    <w:rsid w:val="4CD7691E"/>
    <w:rsid w:val="4D4943AD"/>
    <w:rsid w:val="4D4B538E"/>
    <w:rsid w:val="4D94520C"/>
    <w:rsid w:val="4DE638B8"/>
    <w:rsid w:val="4E0807A7"/>
    <w:rsid w:val="4E2116E9"/>
    <w:rsid w:val="4E4D5AC0"/>
    <w:rsid w:val="4E697FB9"/>
    <w:rsid w:val="4E720C5E"/>
    <w:rsid w:val="4EBC7F3B"/>
    <w:rsid w:val="4F152684"/>
    <w:rsid w:val="4F2A55A9"/>
    <w:rsid w:val="4F2E0E0B"/>
    <w:rsid w:val="4F3651FA"/>
    <w:rsid w:val="4FA71918"/>
    <w:rsid w:val="4FB66684"/>
    <w:rsid w:val="4FD330CC"/>
    <w:rsid w:val="50203970"/>
    <w:rsid w:val="50562FD8"/>
    <w:rsid w:val="50681F00"/>
    <w:rsid w:val="506D4B31"/>
    <w:rsid w:val="507327CC"/>
    <w:rsid w:val="50CC5E28"/>
    <w:rsid w:val="50D67354"/>
    <w:rsid w:val="50E503C3"/>
    <w:rsid w:val="51040E06"/>
    <w:rsid w:val="510F504C"/>
    <w:rsid w:val="51644DBE"/>
    <w:rsid w:val="51823F64"/>
    <w:rsid w:val="519438A1"/>
    <w:rsid w:val="51BC4CC0"/>
    <w:rsid w:val="51BE28E0"/>
    <w:rsid w:val="52333C45"/>
    <w:rsid w:val="524F71B5"/>
    <w:rsid w:val="52605BCA"/>
    <w:rsid w:val="52636DDD"/>
    <w:rsid w:val="52937031"/>
    <w:rsid w:val="53023ECE"/>
    <w:rsid w:val="53661A2B"/>
    <w:rsid w:val="53B1403B"/>
    <w:rsid w:val="53DE6777"/>
    <w:rsid w:val="53ED44A2"/>
    <w:rsid w:val="53EE523E"/>
    <w:rsid w:val="54B554B1"/>
    <w:rsid w:val="54E03962"/>
    <w:rsid w:val="54EF2081"/>
    <w:rsid w:val="54F34D0E"/>
    <w:rsid w:val="55270580"/>
    <w:rsid w:val="55312534"/>
    <w:rsid w:val="55332C91"/>
    <w:rsid w:val="559358EB"/>
    <w:rsid w:val="55A7171D"/>
    <w:rsid w:val="55AB3472"/>
    <w:rsid w:val="55F2156F"/>
    <w:rsid w:val="55F25B15"/>
    <w:rsid w:val="560046E0"/>
    <w:rsid w:val="56914577"/>
    <w:rsid w:val="56935787"/>
    <w:rsid w:val="56D73520"/>
    <w:rsid w:val="56FA7CF3"/>
    <w:rsid w:val="57362DAC"/>
    <w:rsid w:val="57A10134"/>
    <w:rsid w:val="57A85800"/>
    <w:rsid w:val="57AB79F3"/>
    <w:rsid w:val="57B0626D"/>
    <w:rsid w:val="57DA63DB"/>
    <w:rsid w:val="57E76307"/>
    <w:rsid w:val="580D02D9"/>
    <w:rsid w:val="5821257B"/>
    <w:rsid w:val="582855AC"/>
    <w:rsid w:val="584D54A8"/>
    <w:rsid w:val="586D3040"/>
    <w:rsid w:val="58CC1700"/>
    <w:rsid w:val="58D671ED"/>
    <w:rsid w:val="596B63CD"/>
    <w:rsid w:val="598575C7"/>
    <w:rsid w:val="59B4752E"/>
    <w:rsid w:val="59D24511"/>
    <w:rsid w:val="5A3C3061"/>
    <w:rsid w:val="5A6715C3"/>
    <w:rsid w:val="5A7E2423"/>
    <w:rsid w:val="5A807024"/>
    <w:rsid w:val="5A8E30BA"/>
    <w:rsid w:val="5AEC6F87"/>
    <w:rsid w:val="5B1416FF"/>
    <w:rsid w:val="5B3D7B01"/>
    <w:rsid w:val="5B9975C6"/>
    <w:rsid w:val="5BAF6ABC"/>
    <w:rsid w:val="5BCD50F5"/>
    <w:rsid w:val="5C4C6F8A"/>
    <w:rsid w:val="5C4D5980"/>
    <w:rsid w:val="5C5D2B35"/>
    <w:rsid w:val="5C657C3C"/>
    <w:rsid w:val="5C730E0D"/>
    <w:rsid w:val="5C7737B4"/>
    <w:rsid w:val="5C7D754A"/>
    <w:rsid w:val="5D150984"/>
    <w:rsid w:val="5D1C04EB"/>
    <w:rsid w:val="5D201AFA"/>
    <w:rsid w:val="5DC44999"/>
    <w:rsid w:val="5E162269"/>
    <w:rsid w:val="5E3B6EAB"/>
    <w:rsid w:val="5E456928"/>
    <w:rsid w:val="5E650021"/>
    <w:rsid w:val="5EA031AD"/>
    <w:rsid w:val="5EA547FC"/>
    <w:rsid w:val="5EA8566E"/>
    <w:rsid w:val="5EB2506A"/>
    <w:rsid w:val="5F061262"/>
    <w:rsid w:val="5F2409AA"/>
    <w:rsid w:val="5F3B2A2C"/>
    <w:rsid w:val="5F4B0614"/>
    <w:rsid w:val="5F5664BA"/>
    <w:rsid w:val="5F7672EE"/>
    <w:rsid w:val="603E44C2"/>
    <w:rsid w:val="60454DC6"/>
    <w:rsid w:val="60793D60"/>
    <w:rsid w:val="607A0FDF"/>
    <w:rsid w:val="609A77F3"/>
    <w:rsid w:val="60AF592A"/>
    <w:rsid w:val="60CD4EE0"/>
    <w:rsid w:val="61061A64"/>
    <w:rsid w:val="610D33E8"/>
    <w:rsid w:val="6111015C"/>
    <w:rsid w:val="61155538"/>
    <w:rsid w:val="616C090E"/>
    <w:rsid w:val="61A16FA3"/>
    <w:rsid w:val="61AB611F"/>
    <w:rsid w:val="61C80A51"/>
    <w:rsid w:val="61CB421C"/>
    <w:rsid w:val="61E6022A"/>
    <w:rsid w:val="61ED403B"/>
    <w:rsid w:val="622E4B4F"/>
    <w:rsid w:val="62736B5C"/>
    <w:rsid w:val="62D61527"/>
    <w:rsid w:val="632D01EE"/>
    <w:rsid w:val="63406489"/>
    <w:rsid w:val="635C27BC"/>
    <w:rsid w:val="63612013"/>
    <w:rsid w:val="639C0FD0"/>
    <w:rsid w:val="64732979"/>
    <w:rsid w:val="64774C22"/>
    <w:rsid w:val="64930237"/>
    <w:rsid w:val="64DB0E6A"/>
    <w:rsid w:val="64E312EA"/>
    <w:rsid w:val="64FD1D2C"/>
    <w:rsid w:val="64FF0E37"/>
    <w:rsid w:val="6542378D"/>
    <w:rsid w:val="654C5215"/>
    <w:rsid w:val="65564942"/>
    <w:rsid w:val="657955CE"/>
    <w:rsid w:val="65B11604"/>
    <w:rsid w:val="65C3019F"/>
    <w:rsid w:val="65CB044C"/>
    <w:rsid w:val="66093845"/>
    <w:rsid w:val="661A6B25"/>
    <w:rsid w:val="662078E9"/>
    <w:rsid w:val="665B44BF"/>
    <w:rsid w:val="66757D67"/>
    <w:rsid w:val="66993CB4"/>
    <w:rsid w:val="66D43F13"/>
    <w:rsid w:val="66D54D8F"/>
    <w:rsid w:val="66DB6F61"/>
    <w:rsid w:val="67867F10"/>
    <w:rsid w:val="67904C08"/>
    <w:rsid w:val="67980EC5"/>
    <w:rsid w:val="67AB5116"/>
    <w:rsid w:val="67EB1084"/>
    <w:rsid w:val="68690C4B"/>
    <w:rsid w:val="68760BAE"/>
    <w:rsid w:val="68851407"/>
    <w:rsid w:val="68875844"/>
    <w:rsid w:val="68907FA8"/>
    <w:rsid w:val="68C14756"/>
    <w:rsid w:val="68E34325"/>
    <w:rsid w:val="68E35FEE"/>
    <w:rsid w:val="68E97071"/>
    <w:rsid w:val="68F71C1C"/>
    <w:rsid w:val="690D36B5"/>
    <w:rsid w:val="69880E06"/>
    <w:rsid w:val="69BE41E9"/>
    <w:rsid w:val="69C90C5E"/>
    <w:rsid w:val="69EB17D5"/>
    <w:rsid w:val="6A7E0847"/>
    <w:rsid w:val="6A916FAB"/>
    <w:rsid w:val="6AF47BCB"/>
    <w:rsid w:val="6B1D05B6"/>
    <w:rsid w:val="6B5C0C74"/>
    <w:rsid w:val="6B6B0C05"/>
    <w:rsid w:val="6B7B29AF"/>
    <w:rsid w:val="6B83339D"/>
    <w:rsid w:val="6B947BF6"/>
    <w:rsid w:val="6BAF0A53"/>
    <w:rsid w:val="6C1D1CF9"/>
    <w:rsid w:val="6C284B26"/>
    <w:rsid w:val="6C420591"/>
    <w:rsid w:val="6C4938C9"/>
    <w:rsid w:val="6C6C2EC5"/>
    <w:rsid w:val="6C893B72"/>
    <w:rsid w:val="6CA078E5"/>
    <w:rsid w:val="6CA11684"/>
    <w:rsid w:val="6CBB43F2"/>
    <w:rsid w:val="6CCF4627"/>
    <w:rsid w:val="6CFE24DC"/>
    <w:rsid w:val="6D22538C"/>
    <w:rsid w:val="6D56066E"/>
    <w:rsid w:val="6D781C7B"/>
    <w:rsid w:val="6D9B2892"/>
    <w:rsid w:val="6DAE06A1"/>
    <w:rsid w:val="6DD12A21"/>
    <w:rsid w:val="6DF33E64"/>
    <w:rsid w:val="6E321185"/>
    <w:rsid w:val="6E500C00"/>
    <w:rsid w:val="6FA60A54"/>
    <w:rsid w:val="6FE0105F"/>
    <w:rsid w:val="6FE729EA"/>
    <w:rsid w:val="6FF4486F"/>
    <w:rsid w:val="702D37D0"/>
    <w:rsid w:val="70527DA8"/>
    <w:rsid w:val="71145339"/>
    <w:rsid w:val="7119633D"/>
    <w:rsid w:val="712C5715"/>
    <w:rsid w:val="713570D8"/>
    <w:rsid w:val="715F2ECD"/>
    <w:rsid w:val="71CC00E9"/>
    <w:rsid w:val="723F0B3D"/>
    <w:rsid w:val="7273126F"/>
    <w:rsid w:val="727437AD"/>
    <w:rsid w:val="72870EA5"/>
    <w:rsid w:val="728C67B5"/>
    <w:rsid w:val="72AD146B"/>
    <w:rsid w:val="72B959D5"/>
    <w:rsid w:val="72F53EEF"/>
    <w:rsid w:val="72FA299B"/>
    <w:rsid w:val="72FC5A4E"/>
    <w:rsid w:val="730A652D"/>
    <w:rsid w:val="73563827"/>
    <w:rsid w:val="735F29E1"/>
    <w:rsid w:val="736B17B5"/>
    <w:rsid w:val="738F45D6"/>
    <w:rsid w:val="739069A3"/>
    <w:rsid w:val="74264B66"/>
    <w:rsid w:val="743957DE"/>
    <w:rsid w:val="743A395A"/>
    <w:rsid w:val="743B7742"/>
    <w:rsid w:val="74567B65"/>
    <w:rsid w:val="745F0D51"/>
    <w:rsid w:val="74795B53"/>
    <w:rsid w:val="74B72AE2"/>
    <w:rsid w:val="74C005B7"/>
    <w:rsid w:val="74DE6A91"/>
    <w:rsid w:val="753B3B98"/>
    <w:rsid w:val="75BC0475"/>
    <w:rsid w:val="75CB791B"/>
    <w:rsid w:val="75D04F6C"/>
    <w:rsid w:val="75D716AE"/>
    <w:rsid w:val="75DB314A"/>
    <w:rsid w:val="766825A8"/>
    <w:rsid w:val="76945974"/>
    <w:rsid w:val="76AF107E"/>
    <w:rsid w:val="76BC57A9"/>
    <w:rsid w:val="76E856C9"/>
    <w:rsid w:val="76EA61F8"/>
    <w:rsid w:val="76F06230"/>
    <w:rsid w:val="770524AE"/>
    <w:rsid w:val="772D2635"/>
    <w:rsid w:val="773311C7"/>
    <w:rsid w:val="77542ED2"/>
    <w:rsid w:val="775878D1"/>
    <w:rsid w:val="77774CBA"/>
    <w:rsid w:val="778237F5"/>
    <w:rsid w:val="77A512E4"/>
    <w:rsid w:val="77BD292C"/>
    <w:rsid w:val="77DC49B4"/>
    <w:rsid w:val="77F3346D"/>
    <w:rsid w:val="7826628B"/>
    <w:rsid w:val="78884C81"/>
    <w:rsid w:val="78CD0CE6"/>
    <w:rsid w:val="79326FC4"/>
    <w:rsid w:val="79D405E1"/>
    <w:rsid w:val="79DE27F9"/>
    <w:rsid w:val="7A08390E"/>
    <w:rsid w:val="7A7B3281"/>
    <w:rsid w:val="7A7B7874"/>
    <w:rsid w:val="7AC62E9D"/>
    <w:rsid w:val="7AE87ACA"/>
    <w:rsid w:val="7AEC1440"/>
    <w:rsid w:val="7AEE5FE3"/>
    <w:rsid w:val="7B14584D"/>
    <w:rsid w:val="7B7975D4"/>
    <w:rsid w:val="7BA87C23"/>
    <w:rsid w:val="7BF22BB4"/>
    <w:rsid w:val="7C21213C"/>
    <w:rsid w:val="7C2B005E"/>
    <w:rsid w:val="7CB144F2"/>
    <w:rsid w:val="7CBF0117"/>
    <w:rsid w:val="7CD66AA5"/>
    <w:rsid w:val="7D6E7503"/>
    <w:rsid w:val="7D6F2271"/>
    <w:rsid w:val="7D704111"/>
    <w:rsid w:val="7D9225A0"/>
    <w:rsid w:val="7DCA26A6"/>
    <w:rsid w:val="7DE86492"/>
    <w:rsid w:val="7DF516A8"/>
    <w:rsid w:val="7E00216C"/>
    <w:rsid w:val="7E2702BF"/>
    <w:rsid w:val="7E4416A8"/>
    <w:rsid w:val="7E5466DB"/>
    <w:rsid w:val="7E5734F8"/>
    <w:rsid w:val="7EAD25B9"/>
    <w:rsid w:val="7EBE4A1B"/>
    <w:rsid w:val="7EC844CD"/>
    <w:rsid w:val="7ED64101"/>
    <w:rsid w:val="7EF3018C"/>
    <w:rsid w:val="7EF945F5"/>
    <w:rsid w:val="7F0F387B"/>
    <w:rsid w:val="7F2B79D2"/>
    <w:rsid w:val="7F620525"/>
    <w:rsid w:val="7FE62336"/>
    <w:rsid w:val="7FF260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样式"/>
    <w:basedOn w:val="1"/>
    <w:qFormat/>
    <w:uiPriority w:val="99"/>
    <w:pPr>
      <w:ind w:firstLine="200"/>
    </w:pPr>
    <w:rPr>
      <w:spacing w:val="16"/>
      <w:szCs w:val="24"/>
    </w:rPr>
  </w:style>
  <w:style w:type="paragraph" w:styleId="4">
    <w:name w:val="Document Map"/>
    <w:basedOn w:val="1"/>
    <w:semiHidden/>
    <w:qFormat/>
    <w:uiPriority w:val="0"/>
    <w:pPr>
      <w:shd w:val="clear" w:color="auto" w:fill="000080"/>
    </w:pPr>
  </w:style>
  <w:style w:type="paragraph" w:styleId="5">
    <w:name w:val="annotation text"/>
    <w:basedOn w:val="1"/>
    <w:link w:val="23"/>
    <w:semiHidden/>
    <w:qFormat/>
    <w:uiPriority w:val="0"/>
    <w:pPr>
      <w:jc w:val="left"/>
    </w:pPr>
    <w:rPr>
      <w:kern w:val="0"/>
    </w:rPr>
  </w:style>
  <w:style w:type="paragraph" w:styleId="6">
    <w:name w:val="Balloon Text"/>
    <w:basedOn w:val="1"/>
    <w:link w:val="24"/>
    <w:semiHidden/>
    <w:qFormat/>
    <w:uiPriority w:val="0"/>
    <w:rPr>
      <w:kern w:val="0"/>
      <w:sz w:val="18"/>
      <w:szCs w:val="18"/>
    </w:rPr>
  </w:style>
  <w:style w:type="paragraph" w:styleId="7">
    <w:name w:val="footer"/>
    <w:basedOn w:val="1"/>
    <w:link w:val="25"/>
    <w:semiHidden/>
    <w:qFormat/>
    <w:uiPriority w:val="0"/>
    <w:pPr>
      <w:tabs>
        <w:tab w:val="center" w:pos="4153"/>
        <w:tab w:val="right" w:pos="8306"/>
      </w:tabs>
      <w:snapToGrid w:val="0"/>
      <w:jc w:val="left"/>
    </w:pPr>
    <w:rPr>
      <w:kern w:val="0"/>
      <w:sz w:val="18"/>
      <w:szCs w:val="18"/>
    </w:rPr>
  </w:style>
  <w:style w:type="paragraph" w:styleId="8">
    <w:name w:val="header"/>
    <w:basedOn w:val="1"/>
    <w:link w:val="26"/>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annotation subject"/>
    <w:basedOn w:val="5"/>
    <w:next w:val="5"/>
    <w:link w:val="27"/>
    <w:semiHidden/>
    <w:qFormat/>
    <w:uiPriority w:val="0"/>
    <w:rPr>
      <w:b/>
      <w:bCs/>
    </w:rPr>
  </w:style>
  <w:style w:type="table" w:styleId="13">
    <w:name w:val="Table Grid"/>
    <w:basedOn w:val="12"/>
    <w:qFormat/>
    <w:uiPriority w:val="0"/>
    <w:pPr>
      <w:widowControl w:val="0"/>
      <w:jc w:val="both"/>
    </w:pPr>
    <w:rPr>
      <w:rFonts w:ascii="Times New Roman" w:hAnsi="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locked/>
    <w:uiPriority w:val="0"/>
    <w:rPr>
      <w:b/>
      <w:bCs/>
    </w:rPr>
  </w:style>
  <w:style w:type="character" w:styleId="16">
    <w:name w:val="FollowedHyperlink"/>
    <w:basedOn w:val="14"/>
    <w:qFormat/>
    <w:uiPriority w:val="0"/>
    <w:rPr>
      <w:color w:val="333333"/>
      <w:u w:val="none"/>
    </w:rPr>
  </w:style>
  <w:style w:type="character" w:styleId="17">
    <w:name w:val="Emphasis"/>
    <w:basedOn w:val="14"/>
    <w:qFormat/>
    <w:locked/>
    <w:uiPriority w:val="0"/>
    <w:rPr>
      <w:color w:val="FF0000"/>
    </w:rPr>
  </w:style>
  <w:style w:type="character" w:styleId="18">
    <w:name w:val="Hyperlink"/>
    <w:basedOn w:val="14"/>
    <w:qFormat/>
    <w:uiPriority w:val="0"/>
    <w:rPr>
      <w:color w:val="333333"/>
      <w:u w:val="none"/>
    </w:rPr>
  </w:style>
  <w:style w:type="character" w:styleId="19">
    <w:name w:val="HTML Code"/>
    <w:basedOn w:val="14"/>
    <w:qFormat/>
    <w:uiPriority w:val="0"/>
    <w:rPr>
      <w:rFonts w:hint="default" w:ascii="monospace" w:hAnsi="monospace" w:eastAsia="monospace" w:cs="monospace"/>
      <w:sz w:val="21"/>
      <w:szCs w:val="21"/>
    </w:rPr>
  </w:style>
  <w:style w:type="character" w:styleId="20">
    <w:name w:val="annotation reference"/>
    <w:semiHidden/>
    <w:qFormat/>
    <w:uiPriority w:val="0"/>
    <w:rPr>
      <w:rFonts w:cs="Times New Roman"/>
      <w:sz w:val="21"/>
      <w:szCs w:val="21"/>
    </w:rPr>
  </w:style>
  <w:style w:type="character" w:styleId="21">
    <w:name w:val="HTML Keyboard"/>
    <w:basedOn w:val="14"/>
    <w:qFormat/>
    <w:uiPriority w:val="0"/>
    <w:rPr>
      <w:rFonts w:ascii="monospace" w:hAnsi="monospace" w:eastAsia="monospace" w:cs="monospace"/>
      <w:sz w:val="21"/>
      <w:szCs w:val="21"/>
    </w:rPr>
  </w:style>
  <w:style w:type="character" w:styleId="22">
    <w:name w:val="HTML Sample"/>
    <w:basedOn w:val="14"/>
    <w:qFormat/>
    <w:uiPriority w:val="0"/>
    <w:rPr>
      <w:rFonts w:hint="default" w:ascii="monospace" w:hAnsi="monospace" w:eastAsia="monospace" w:cs="monospace"/>
      <w:sz w:val="21"/>
      <w:szCs w:val="21"/>
    </w:rPr>
  </w:style>
  <w:style w:type="character" w:customStyle="1" w:styleId="23">
    <w:name w:val="批注文字 Char"/>
    <w:link w:val="5"/>
    <w:semiHidden/>
    <w:qFormat/>
    <w:locked/>
    <w:uiPriority w:val="0"/>
    <w:rPr>
      <w:rFonts w:ascii="Times New Roman" w:hAnsi="Times New Roman" w:cs="Times New Roman"/>
      <w:sz w:val="21"/>
      <w:szCs w:val="21"/>
    </w:rPr>
  </w:style>
  <w:style w:type="character" w:customStyle="1" w:styleId="24">
    <w:name w:val="批注框文本 Char"/>
    <w:link w:val="6"/>
    <w:semiHidden/>
    <w:qFormat/>
    <w:locked/>
    <w:uiPriority w:val="0"/>
    <w:rPr>
      <w:rFonts w:ascii="Times New Roman" w:hAnsi="Times New Roman" w:eastAsia="宋体" w:cs="Times New Roman"/>
      <w:sz w:val="18"/>
      <w:szCs w:val="18"/>
    </w:rPr>
  </w:style>
  <w:style w:type="character" w:customStyle="1" w:styleId="25">
    <w:name w:val="页脚 Char"/>
    <w:link w:val="7"/>
    <w:semiHidden/>
    <w:qFormat/>
    <w:locked/>
    <w:uiPriority w:val="0"/>
    <w:rPr>
      <w:rFonts w:ascii="Times New Roman" w:hAnsi="Times New Roman" w:eastAsia="宋体" w:cs="Times New Roman"/>
      <w:sz w:val="18"/>
      <w:szCs w:val="18"/>
    </w:rPr>
  </w:style>
  <w:style w:type="character" w:customStyle="1" w:styleId="26">
    <w:name w:val="页眉 Char"/>
    <w:link w:val="8"/>
    <w:semiHidden/>
    <w:qFormat/>
    <w:locked/>
    <w:uiPriority w:val="0"/>
    <w:rPr>
      <w:rFonts w:ascii="Times New Roman" w:hAnsi="Times New Roman" w:eastAsia="宋体" w:cs="Times New Roman"/>
      <w:sz w:val="18"/>
      <w:szCs w:val="18"/>
    </w:rPr>
  </w:style>
  <w:style w:type="character" w:customStyle="1" w:styleId="27">
    <w:name w:val="批注主题 Char"/>
    <w:link w:val="11"/>
    <w:semiHidden/>
    <w:qFormat/>
    <w:locked/>
    <w:uiPriority w:val="0"/>
    <w:rPr>
      <w:rFonts w:ascii="Times New Roman" w:hAnsi="Times New Roman" w:cs="Times New Roman"/>
      <w:b/>
      <w:bCs/>
      <w:sz w:val="21"/>
      <w:szCs w:val="21"/>
    </w:rPr>
  </w:style>
  <w:style w:type="character" w:customStyle="1" w:styleId="28">
    <w:name w:val="hot-question-icon"/>
    <w:basedOn w:val="14"/>
    <w:qFormat/>
    <w:uiPriority w:val="0"/>
    <w:rPr>
      <w:color w:val="FF0000"/>
    </w:rPr>
  </w:style>
  <w:style w:type="character" w:customStyle="1" w:styleId="29">
    <w:name w:val="info-content"/>
    <w:basedOn w:val="14"/>
    <w:qFormat/>
    <w:uiPriority w:val="0"/>
    <w:rPr>
      <w:color w:val="808080"/>
    </w:rPr>
  </w:style>
  <w:style w:type="character" w:customStyle="1" w:styleId="30">
    <w:name w:val="no-reply-icon"/>
    <w:basedOn w:val="14"/>
    <w:qFormat/>
    <w:uiPriority w:val="0"/>
    <w:rPr>
      <w:color w:val="BBC0CC"/>
      <w:bdr w:val="single" w:color="F8F8F8" w:sz="6" w:space="0"/>
      <w:shd w:val="clear" w:color="auto" w:fill="F8F8F8"/>
    </w:rPr>
  </w:style>
  <w:style w:type="character" w:customStyle="1" w:styleId="31">
    <w:name w:val="info-label"/>
    <w:basedOn w:val="14"/>
    <w:qFormat/>
    <w:uiPriority w:val="0"/>
    <w:rPr>
      <w:b/>
    </w:rPr>
  </w:style>
  <w:style w:type="character" w:customStyle="1" w:styleId="32">
    <w:name w:val="hover"/>
    <w:basedOn w:val="14"/>
    <w:qFormat/>
    <w:uiPriority w:val="0"/>
    <w:rPr>
      <w:color w:val="0077E6"/>
    </w:rPr>
  </w:style>
  <w:style w:type="character" w:customStyle="1" w:styleId="33">
    <w:name w:val="nth-child(3)"/>
    <w:basedOn w:val="14"/>
    <w:qFormat/>
    <w:uiPriority w:val="0"/>
  </w:style>
  <w:style w:type="character" w:customStyle="1" w:styleId="34">
    <w:name w:val="not([class*=suffix])"/>
    <w:basedOn w:val="14"/>
    <w:qFormat/>
    <w:uiPriority w:val="0"/>
    <w:rPr>
      <w:sz w:val="19"/>
      <w:szCs w:val="19"/>
    </w:rPr>
  </w:style>
  <w:style w:type="character" w:customStyle="1" w:styleId="35">
    <w:name w:val="current"/>
    <w:basedOn w:val="14"/>
    <w:qFormat/>
    <w:uiPriority w:val="0"/>
    <w:rPr>
      <w:color w:val="00C1DE"/>
    </w:rPr>
  </w:style>
  <w:style w:type="character" w:customStyle="1" w:styleId="36">
    <w:name w:val="flag-title"/>
    <w:basedOn w:val="14"/>
    <w:qFormat/>
    <w:uiPriority w:val="0"/>
    <w:rPr>
      <w:color w:val="8790A4"/>
      <w:sz w:val="18"/>
      <w:szCs w:val="18"/>
      <w:bdr w:val="dashed" w:color="E5E5E5" w:sz="6" w:space="0"/>
    </w:rPr>
  </w:style>
  <w:style w:type="character" w:customStyle="1" w:styleId="37">
    <w:name w:val="right"/>
    <w:basedOn w:val="14"/>
    <w:qFormat/>
    <w:uiPriority w:val="0"/>
    <w:rPr>
      <w:shd w:val="clear" w:color="auto" w:fill="E5E5E5"/>
    </w:rPr>
  </w:style>
  <w:style w:type="character" w:customStyle="1" w:styleId="38">
    <w:name w:val="nth-child(1)"/>
    <w:basedOn w:val="14"/>
    <w:qFormat/>
    <w:uiPriority w:val="0"/>
  </w:style>
  <w:style w:type="character" w:customStyle="1" w:styleId="39">
    <w:name w:val="new-question-icon"/>
    <w:basedOn w:val="14"/>
    <w:qFormat/>
    <w:uiPriority w:val="0"/>
    <w:rPr>
      <w:color w:val="F99403"/>
      <w:bdr w:val="single" w:color="FFF8E2" w:sz="6" w:space="0"/>
      <w:shd w:val="clear" w:color="auto" w:fill="FFF8E2"/>
    </w:rPr>
  </w:style>
  <w:style w:type="character" w:customStyle="1" w:styleId="40">
    <w:name w:val="current1"/>
    <w:basedOn w:val="14"/>
    <w:qFormat/>
    <w:uiPriority w:val="0"/>
    <w:rPr>
      <w:color w:val="00C1DE"/>
    </w:rPr>
  </w:style>
  <w:style w:type="character" w:customStyle="1" w:styleId="41">
    <w:name w:val="not([class*=suffix])1"/>
    <w:basedOn w:val="14"/>
    <w:qFormat/>
    <w:uiPriority w:val="0"/>
  </w:style>
  <w:style w:type="character" w:customStyle="1" w:styleId="42">
    <w:name w:val="nth-child(2)"/>
    <w:basedOn w:val="14"/>
    <w:qFormat/>
    <w:uiPriority w:val="0"/>
  </w:style>
  <w:style w:type="character" w:customStyle="1" w:styleId="43">
    <w:name w:val="hover7"/>
    <w:basedOn w:val="14"/>
    <w:qFormat/>
    <w:uiPriority w:val="0"/>
    <w:rPr>
      <w:color w:val="0077E6"/>
    </w:rPr>
  </w:style>
  <w:style w:type="character" w:customStyle="1" w:styleId="44">
    <w:name w:val="flag-title2"/>
    <w:basedOn w:val="14"/>
    <w:qFormat/>
    <w:uiPriority w:val="0"/>
    <w:rPr>
      <w:color w:val="8790A4"/>
      <w:sz w:val="18"/>
      <w:szCs w:val="18"/>
      <w:bdr w:val="dashed" w:color="E5E5E5" w:sz="6" w:space="0"/>
    </w:rPr>
  </w:style>
  <w:style w:type="paragraph" w:customStyle="1" w:styleId="45">
    <w:name w:val="Char Char1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pPr>
    <w:rPr>
      <w:rFonts w:ascii="Verdana" w:hAnsi="Verdana" w:cs="Verdana"/>
      <w:kern w:val="0"/>
      <w:sz w:val="22"/>
      <w:szCs w:val="22"/>
      <w:lang w:eastAsia="en-US"/>
    </w:rPr>
  </w:style>
  <w:style w:type="paragraph" w:styleId="46">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47">
    <w:name w:val=" Char Char1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pPr>
    <w:rPr>
      <w:szCs w:val="24"/>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3006</Words>
  <Characters>3377</Characters>
  <Lines>12</Lines>
  <Paragraphs>3</Paragraphs>
  <TotalTime>5</TotalTime>
  <ScaleCrop>false</ScaleCrop>
  <LinksUpToDate>false</LinksUpToDate>
  <CharactersWithSpaces>3542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2020-08-17T03:35:00Z</dcterms:created>
  <dc:creator>User</dc:creator>
  <cp:lastModifiedBy>whr</cp:lastModifiedBy>
  <cp:lastPrinted>2022-04-28T06:42:00Z</cp:lastPrinted>
  <dcterms:modified xsi:type="dcterms:W3CDTF">2026-04-29T11:14:40Z</dcterms:modified>
  <dc:title>证券代码：烟台万润                                  证券简称：002643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CB345B740A184DD3AADB778E7E08C70C_13</vt:lpwstr>
  </property>
  <property fmtid="{D5CDD505-2E9C-101B-9397-08002B2CF9AE}" pid="4" name="KSOTemplateDocerSaveRecord">
    <vt:lpwstr>eyJoZGlkIjoiYWM3M2QxNmI0YWI4NGYwYWVlOGVjZmVhZjQyYTBlYmMiLCJ1c2VySWQiOiI2MzI3MDU3ODgifQ==</vt:lpwstr>
  </property>
</Properties>
</file>