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D1E8B">
      <w:pPr>
        <w:spacing w:after="468" w:afterLines="150" w:line="400" w:lineRule="exact"/>
        <w:rPr>
          <w:rFonts w:ascii="宋体"/>
          <w:color w:val="000000"/>
          <w:sz w:val="24"/>
          <w:szCs w:val="24"/>
        </w:rPr>
      </w:pPr>
      <w:r>
        <w:rPr>
          <w:rFonts w:hint="eastAsia" w:ascii="宋体" w:hAnsi="宋体" w:cs="宋体"/>
          <w:color w:val="000000"/>
          <w:sz w:val="24"/>
          <w:szCs w:val="24"/>
        </w:rPr>
        <w:t>证券代码：</w:t>
      </w:r>
      <w:r>
        <w:rPr>
          <w:rFonts w:ascii="宋体" w:hAnsi="宋体" w:cs="宋体"/>
          <w:color w:val="000000"/>
          <w:sz w:val="24"/>
          <w:szCs w:val="24"/>
        </w:rPr>
        <w:t xml:space="preserve">002643                               </w:t>
      </w:r>
      <w:r>
        <w:rPr>
          <w:rFonts w:hint="eastAsia" w:ascii="宋体" w:hAnsi="宋体" w:cs="宋体"/>
          <w:color w:val="000000"/>
          <w:sz w:val="24"/>
          <w:szCs w:val="24"/>
        </w:rPr>
        <w:t xml:space="preserve">                     证券简称：万润股份</w:t>
      </w:r>
    </w:p>
    <w:p w14:paraId="3D5FCC63">
      <w:pPr>
        <w:spacing w:before="156" w:beforeLines="50" w:after="156" w:afterLines="50" w:line="400" w:lineRule="exact"/>
        <w:jc w:val="center"/>
        <w:rPr>
          <w:rFonts w:ascii="宋体"/>
          <w:b/>
          <w:bCs/>
          <w:color w:val="000000"/>
          <w:sz w:val="32"/>
          <w:szCs w:val="32"/>
        </w:rPr>
      </w:pPr>
      <w:r>
        <w:rPr>
          <w:rFonts w:hint="eastAsia" w:ascii="宋体" w:hAnsi="宋体" w:cs="宋体"/>
          <w:b/>
          <w:bCs/>
          <w:color w:val="000000"/>
          <w:sz w:val="32"/>
          <w:szCs w:val="32"/>
        </w:rPr>
        <w:t>中节能万润股份有限公司投资者关系活动记录表</w:t>
      </w:r>
    </w:p>
    <w:p w14:paraId="208AF066">
      <w:pPr>
        <w:spacing w:line="400" w:lineRule="exact"/>
        <w:rPr>
          <w:rFonts w:hint="default" w:ascii="宋体" w:eastAsia="宋体"/>
          <w:color w:val="000000"/>
          <w:sz w:val="24"/>
          <w:szCs w:val="24"/>
          <w:lang w:val="en-US" w:eastAsia="zh-CN"/>
        </w:rPr>
      </w:pPr>
      <w:r>
        <w:rPr>
          <w:rFonts w:ascii="宋体" w:hAnsi="宋体" w:cs="宋体"/>
          <w:color w:val="000000"/>
          <w:sz w:val="24"/>
          <w:szCs w:val="24"/>
        </w:rPr>
        <w:t xml:space="preserve">                                                        </w:t>
      </w:r>
      <w:r>
        <w:rPr>
          <w:rFonts w:hint="eastAsia" w:ascii="宋体" w:hAnsi="宋体" w:cs="宋体"/>
          <w:color w:val="000000"/>
          <w:sz w:val="24"/>
          <w:szCs w:val="24"/>
        </w:rPr>
        <w:t xml:space="preserve">            编号：</w:t>
      </w:r>
      <w:r>
        <w:rPr>
          <w:rFonts w:ascii="宋体" w:hAnsi="宋体" w:cs="宋体"/>
          <w:color w:val="000000"/>
          <w:sz w:val="24"/>
          <w:szCs w:val="24"/>
          <w:highlight w:val="none"/>
        </w:rPr>
        <w:t>20</w:t>
      </w: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en-US" w:eastAsia="zh-CN"/>
        </w:rPr>
        <w:t>50626</w:t>
      </w:r>
    </w:p>
    <w:tbl>
      <w:tblPr>
        <w:tblStyle w:val="11"/>
        <w:tblW w:w="10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8"/>
        <w:gridCol w:w="7800"/>
      </w:tblGrid>
      <w:tr w14:paraId="302F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tcBorders>
              <w:top w:val="single" w:color="auto" w:sz="4" w:space="0"/>
              <w:left w:val="single" w:color="auto" w:sz="4" w:space="0"/>
              <w:bottom w:val="single" w:color="auto" w:sz="4" w:space="0"/>
              <w:right w:val="single" w:color="auto" w:sz="4" w:space="0"/>
            </w:tcBorders>
            <w:vAlign w:val="center"/>
          </w:tcPr>
          <w:p w14:paraId="30B3AD66">
            <w:pPr>
              <w:spacing w:line="480" w:lineRule="atLeast"/>
              <w:rPr>
                <w:rFonts w:ascii="宋体"/>
                <w:color w:val="000000"/>
                <w:kern w:val="0"/>
                <w:sz w:val="24"/>
                <w:szCs w:val="24"/>
              </w:rPr>
            </w:pPr>
            <w:r>
              <w:rPr>
                <w:rFonts w:hint="eastAsia" w:ascii="宋体" w:hAnsi="宋体" w:cs="宋体"/>
                <w:color w:val="000000"/>
                <w:kern w:val="0"/>
                <w:sz w:val="24"/>
                <w:szCs w:val="24"/>
              </w:rPr>
              <w:t>投资者关系活动类别</w:t>
            </w:r>
          </w:p>
        </w:tc>
        <w:tc>
          <w:tcPr>
            <w:tcW w:w="7800" w:type="dxa"/>
            <w:tcBorders>
              <w:top w:val="single" w:color="auto" w:sz="4" w:space="0"/>
              <w:left w:val="single" w:color="auto" w:sz="4" w:space="0"/>
              <w:bottom w:val="single" w:color="auto" w:sz="4" w:space="0"/>
              <w:right w:val="single" w:color="auto" w:sz="4" w:space="0"/>
            </w:tcBorders>
            <w:vAlign w:val="top"/>
          </w:tcPr>
          <w:p w14:paraId="768335D2">
            <w:pPr>
              <w:spacing w:line="480" w:lineRule="atLeast"/>
              <w:rPr>
                <w:rFonts w:ascii="宋体"/>
                <w:color w:val="000000"/>
                <w:kern w:val="0"/>
                <w:sz w:val="24"/>
                <w:szCs w:val="24"/>
              </w:rPr>
            </w:pPr>
            <w:r>
              <w:rPr>
                <w:rFonts w:ascii="宋体" w:hAnsi="宋体" w:cs="宋体"/>
                <w:color w:val="000000"/>
                <w:kern w:val="0"/>
                <w:sz w:val="28"/>
                <w:szCs w:val="28"/>
              </w:rPr>
              <w:fldChar w:fldCharType="begin"/>
            </w:r>
            <w:r>
              <w:rPr>
                <w:rFonts w:ascii="宋体" w:hAnsi="宋体" w:cs="宋体"/>
                <w:color w:val="000000"/>
                <w:kern w:val="0"/>
                <w:sz w:val="28"/>
                <w:szCs w:val="28"/>
              </w:rPr>
              <w:instrText xml:space="preserve"> </w:instrText>
            </w:r>
            <w:r>
              <w:rPr>
                <w:rFonts w:hint="eastAsia" w:ascii="宋体" w:hAnsi="宋体" w:cs="宋体"/>
                <w:color w:val="000000"/>
                <w:kern w:val="0"/>
                <w:sz w:val="28"/>
                <w:szCs w:val="28"/>
              </w:rPr>
              <w:instrText xml:space="preserve">eq \o\ac(□,</w:instrText>
            </w:r>
            <w:r>
              <w:rPr>
                <w:rFonts w:hint="eastAsia" w:ascii="宋体" w:hAnsi="宋体" w:cs="宋体"/>
                <w:color w:val="000000"/>
                <w:kern w:val="0"/>
                <w:position w:val="2"/>
                <w:sz w:val="28"/>
                <w:szCs w:val="28"/>
              </w:rPr>
              <w:instrText xml:space="preserve">√</w:instrText>
            </w:r>
            <w:r>
              <w:rPr>
                <w:rFonts w:hint="eastAsia" w:ascii="宋体" w:hAnsi="宋体" w:cs="宋体"/>
                <w:color w:val="000000"/>
                <w:kern w:val="0"/>
                <w:sz w:val="28"/>
                <w:szCs w:val="28"/>
              </w:rPr>
              <w:instrText xml:space="preserve">)</w:instrText>
            </w:r>
            <w:r>
              <w:rPr>
                <w:rFonts w:ascii="宋体" w:hAnsi="宋体" w:cs="宋体"/>
                <w:color w:val="000000"/>
                <w:kern w:val="0"/>
                <w:sz w:val="28"/>
                <w:szCs w:val="28"/>
              </w:rPr>
              <w:fldChar w:fldCharType="end"/>
            </w:r>
            <w:r>
              <w:rPr>
                <w:rFonts w:hint="eastAsia" w:ascii="宋体" w:hAnsi="宋体" w:cs="宋体"/>
                <w:kern w:val="0"/>
                <w:sz w:val="28"/>
                <w:szCs w:val="28"/>
              </w:rPr>
              <w:t>特定对象调研</w:t>
            </w:r>
            <w:r>
              <w:rPr>
                <w:rFonts w:ascii="宋体" w:hAnsi="宋体" w:cs="宋体"/>
                <w:kern w:val="0"/>
                <w:sz w:val="28"/>
                <w:szCs w:val="28"/>
              </w:rPr>
              <w:t xml:space="preserve">        </w:t>
            </w:r>
            <w:r>
              <w:rPr>
                <w:rFonts w:hint="eastAsia" w:ascii="宋体" w:hAnsi="宋体" w:cs="宋体"/>
                <w:color w:val="000000"/>
                <w:kern w:val="0"/>
                <w:sz w:val="24"/>
                <w:szCs w:val="24"/>
                <w:lang w:eastAsia="zh-CN"/>
              </w:rPr>
              <w:t>□</w:t>
            </w:r>
            <w:r>
              <w:rPr>
                <w:rFonts w:hint="eastAsia" w:ascii="宋体" w:hAnsi="宋体" w:cs="宋体"/>
                <w:kern w:val="0"/>
                <w:sz w:val="28"/>
                <w:szCs w:val="28"/>
              </w:rPr>
              <w:t>分析师会议</w:t>
            </w:r>
          </w:p>
          <w:p w14:paraId="0718D6D6">
            <w:pPr>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媒体采访</w:t>
            </w:r>
            <w:r>
              <w:rPr>
                <w:rFonts w:ascii="宋体" w:hAnsi="宋体" w:cs="宋体"/>
                <w:kern w:val="0"/>
                <w:sz w:val="28"/>
                <w:szCs w:val="28"/>
              </w:rPr>
              <w:t xml:space="preserve">            </w:t>
            </w:r>
            <w:r>
              <w:rPr>
                <w:rFonts w:hint="eastAsia" w:ascii="宋体" w:hAnsi="宋体" w:cs="宋体"/>
                <w:color w:val="000000"/>
                <w:kern w:val="0"/>
                <w:sz w:val="24"/>
                <w:szCs w:val="24"/>
              </w:rPr>
              <w:t>□</w:t>
            </w:r>
            <w:r>
              <w:rPr>
                <w:rFonts w:hint="eastAsia" w:ascii="宋体" w:hAnsi="宋体" w:cs="宋体"/>
                <w:kern w:val="0"/>
                <w:sz w:val="28"/>
                <w:szCs w:val="28"/>
              </w:rPr>
              <w:t>业绩说明会</w:t>
            </w:r>
          </w:p>
          <w:p w14:paraId="0437168D">
            <w:pPr>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新闻发布会</w:t>
            </w:r>
            <w:r>
              <w:rPr>
                <w:rFonts w:ascii="宋体" w:hAnsi="宋体" w:cs="宋体"/>
                <w:kern w:val="0"/>
                <w:sz w:val="28"/>
                <w:szCs w:val="28"/>
              </w:rPr>
              <w:t xml:space="preserve">          </w:t>
            </w:r>
            <w:r>
              <w:rPr>
                <w:rFonts w:hint="eastAsia" w:ascii="宋体" w:hAnsi="宋体" w:cs="宋体"/>
                <w:color w:val="000000"/>
                <w:kern w:val="0"/>
                <w:sz w:val="24"/>
                <w:szCs w:val="24"/>
              </w:rPr>
              <w:t>□</w:t>
            </w:r>
            <w:r>
              <w:rPr>
                <w:rFonts w:hint="eastAsia" w:ascii="宋体" w:hAnsi="宋体" w:cs="宋体"/>
                <w:kern w:val="0"/>
                <w:sz w:val="28"/>
                <w:szCs w:val="28"/>
              </w:rPr>
              <w:t>路演活动</w:t>
            </w:r>
          </w:p>
          <w:p w14:paraId="27507833">
            <w:pPr>
              <w:tabs>
                <w:tab w:val="left" w:pos="3045"/>
                <w:tab w:val="center" w:pos="3199"/>
              </w:tabs>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现场参观</w:t>
            </w:r>
            <w:r>
              <w:rPr>
                <w:rFonts w:ascii="宋体"/>
                <w:color w:val="000000"/>
                <w:kern w:val="0"/>
                <w:sz w:val="24"/>
                <w:szCs w:val="24"/>
              </w:rPr>
              <w:tab/>
            </w:r>
          </w:p>
          <w:p w14:paraId="07C06C1A">
            <w:pPr>
              <w:tabs>
                <w:tab w:val="center" w:pos="3199"/>
              </w:tabs>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其他</w:t>
            </w:r>
            <w:r>
              <w:rPr>
                <w:rFonts w:ascii="宋体" w:hAnsi="宋体" w:cs="宋体"/>
                <w:kern w:val="0"/>
                <w:sz w:val="28"/>
                <w:szCs w:val="28"/>
              </w:rPr>
              <w:t xml:space="preserve"> </w:t>
            </w:r>
            <w:r>
              <w:rPr>
                <w:rFonts w:hint="eastAsia" w:ascii="宋体" w:hAnsi="宋体" w:cs="宋体"/>
                <w:kern w:val="0"/>
                <w:sz w:val="28"/>
                <w:szCs w:val="28"/>
                <w:u w:val="single"/>
              </w:rPr>
              <w:t xml:space="preserve">          </w:t>
            </w:r>
          </w:p>
        </w:tc>
      </w:tr>
      <w:tr w14:paraId="1CA1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tcBorders>
              <w:top w:val="single" w:color="auto" w:sz="4" w:space="0"/>
              <w:left w:val="single" w:color="auto" w:sz="4" w:space="0"/>
              <w:bottom w:val="single" w:color="auto" w:sz="4" w:space="0"/>
              <w:right w:val="single" w:color="auto" w:sz="4" w:space="0"/>
            </w:tcBorders>
            <w:vAlign w:val="center"/>
          </w:tcPr>
          <w:p w14:paraId="144FE37A">
            <w:pPr>
              <w:spacing w:line="480" w:lineRule="atLeas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活动参与人员</w:t>
            </w:r>
          </w:p>
        </w:tc>
        <w:tc>
          <w:tcPr>
            <w:tcW w:w="7800" w:type="dxa"/>
            <w:tcBorders>
              <w:top w:val="single" w:color="auto" w:sz="4" w:space="0"/>
              <w:left w:val="single" w:color="auto" w:sz="4" w:space="0"/>
              <w:bottom w:val="single" w:color="auto" w:sz="4" w:space="0"/>
              <w:right w:val="single" w:color="auto" w:sz="4" w:space="0"/>
            </w:tcBorders>
            <w:vAlign w:val="top"/>
          </w:tcPr>
          <w:p w14:paraId="715E98D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cs="宋体"/>
                <w:color w:val="000000"/>
                <w:spacing w:val="0"/>
                <w:kern w:val="0"/>
                <w:sz w:val="24"/>
                <w:szCs w:val="24"/>
                <w:lang w:val="en-US" w:eastAsia="zh-CN" w:bidi="ar-SA"/>
              </w:rPr>
            </w:pPr>
            <w:r>
              <w:rPr>
                <w:rFonts w:hint="eastAsia" w:ascii="宋体" w:hAnsi="宋体" w:cs="宋体"/>
                <w:color w:val="000000"/>
                <w:spacing w:val="0"/>
                <w:kern w:val="0"/>
                <w:sz w:val="24"/>
                <w:szCs w:val="24"/>
                <w:lang w:val="en-US" w:eastAsia="zh-CN" w:bidi="ar-SA"/>
              </w:rPr>
              <w:t>中信证券：任丹、吴俊汉</w:t>
            </w:r>
          </w:p>
          <w:p w14:paraId="0FB1EDE4">
            <w:pPr>
              <w:pStyle w:val="2"/>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spacing w:val="0"/>
                <w:sz w:val="24"/>
                <w:szCs w:val="24"/>
                <w:lang w:val="en-US" w:eastAsia="zh-CN"/>
              </w:rPr>
            </w:pPr>
            <w:r>
              <w:rPr>
                <w:rFonts w:hint="eastAsia" w:ascii="宋体" w:hAnsi="宋体" w:cs="宋体"/>
                <w:color w:val="000000"/>
                <w:spacing w:val="0"/>
                <w:kern w:val="0"/>
                <w:sz w:val="24"/>
                <w:szCs w:val="24"/>
                <w:lang w:val="en-US" w:eastAsia="zh-CN" w:bidi="ar-SA"/>
              </w:rPr>
              <w:t>招商基金：赵宗原、陈海波、王奇超</w:t>
            </w:r>
            <w:bookmarkStart w:id="0" w:name="_GoBack"/>
            <w:bookmarkEnd w:id="0"/>
          </w:p>
        </w:tc>
      </w:tr>
      <w:tr w14:paraId="469F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vAlign w:val="center"/>
          </w:tcPr>
          <w:p w14:paraId="63EAB9A7">
            <w:pPr>
              <w:keepNext w:val="0"/>
              <w:keepLines w:val="0"/>
              <w:pageBreakBefore w:val="0"/>
              <w:widowControl w:val="0"/>
              <w:kinsoku/>
              <w:wordWrap/>
              <w:overflowPunct/>
              <w:topLinePunct w:val="0"/>
              <w:autoSpaceDE/>
              <w:autoSpaceDN/>
              <w:bidi w:val="0"/>
              <w:adjustRightInd w:val="0"/>
              <w:snapToGrid w:val="0"/>
              <w:spacing w:line="480" w:lineRule="atLeast"/>
              <w:jc w:val="both"/>
              <w:textAlignment w:val="auto"/>
              <w:rPr>
                <w:rFonts w:ascii="宋体"/>
                <w:color w:val="000000"/>
                <w:kern w:val="0"/>
                <w:sz w:val="24"/>
                <w:szCs w:val="24"/>
              </w:rPr>
            </w:pPr>
            <w:r>
              <w:rPr>
                <w:rFonts w:hint="eastAsia" w:ascii="宋体" w:hAnsi="宋体" w:cs="宋体"/>
                <w:color w:val="000000"/>
                <w:kern w:val="0"/>
                <w:sz w:val="24"/>
                <w:szCs w:val="24"/>
              </w:rPr>
              <w:t>时间</w:t>
            </w:r>
          </w:p>
        </w:tc>
        <w:tc>
          <w:tcPr>
            <w:tcW w:w="7800" w:type="dxa"/>
            <w:tcBorders>
              <w:top w:val="single" w:color="auto" w:sz="4" w:space="0"/>
              <w:left w:val="single" w:color="auto" w:sz="4" w:space="0"/>
              <w:bottom w:val="single" w:color="auto" w:sz="4" w:space="0"/>
              <w:right w:val="single" w:color="auto" w:sz="4" w:space="0"/>
            </w:tcBorders>
            <w:vAlign w:val="top"/>
          </w:tcPr>
          <w:p w14:paraId="144D2381">
            <w:pPr>
              <w:spacing w:line="480" w:lineRule="atLeast"/>
              <w:rPr>
                <w:rFonts w:hint="default" w:ascii="宋体" w:eastAsia="宋体" w:cs="宋体"/>
                <w:color w:val="000000"/>
                <w:kern w:val="0"/>
                <w:sz w:val="24"/>
                <w:szCs w:val="24"/>
                <w:lang w:val="en-US" w:eastAsia="zh-CN"/>
              </w:rPr>
            </w:pPr>
            <w:r>
              <w:rPr>
                <w:rFonts w:ascii="宋体" w:hAnsi="宋体" w:cs="宋体"/>
                <w:color w:val="000000"/>
                <w:kern w:val="0"/>
                <w:sz w:val="24"/>
                <w:szCs w:val="24"/>
              </w:rPr>
              <w:t>20</w:t>
            </w: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rPr>
              <w:t>月</w:t>
            </w:r>
            <w:r>
              <w:rPr>
                <w:rFonts w:hint="eastAsia" w:ascii="宋体" w:hAnsi="宋体" w:cs="宋体"/>
                <w:color w:val="000000"/>
                <w:kern w:val="0"/>
                <w:sz w:val="24"/>
                <w:szCs w:val="24"/>
                <w:lang w:val="en-US" w:eastAsia="zh-CN"/>
              </w:rPr>
              <w:t>26</w:t>
            </w:r>
            <w:r>
              <w:rPr>
                <w:rFonts w:hint="eastAsia" w:ascii="宋体" w:hAnsi="宋体" w:eastAsia="宋体" w:cs="宋体"/>
                <w:color w:val="000000"/>
                <w:kern w:val="0"/>
                <w:sz w:val="24"/>
                <w:szCs w:val="24"/>
              </w:rPr>
              <w:t xml:space="preserve">日 </w:t>
            </w:r>
            <w:r>
              <w:rPr>
                <w:rFonts w:hint="eastAsia" w:ascii="宋体" w:hAnsi="宋体" w:eastAsia="宋体" w:cs="宋体"/>
                <w:color w:val="000000"/>
                <w:kern w:val="0"/>
                <w:sz w:val="24"/>
                <w:szCs w:val="24"/>
                <w:lang w:val="en-US" w:eastAsia="zh-CN"/>
              </w:rPr>
              <w:t>1</w:t>
            </w: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lang w:val="en-US" w:eastAsia="zh-CN"/>
              </w:rPr>
              <w:t>:00~16:</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0</w:t>
            </w:r>
          </w:p>
        </w:tc>
      </w:tr>
      <w:tr w14:paraId="32FA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vAlign w:val="center"/>
          </w:tcPr>
          <w:p w14:paraId="30FF3695">
            <w:pPr>
              <w:keepNext w:val="0"/>
              <w:keepLines w:val="0"/>
              <w:pageBreakBefore w:val="0"/>
              <w:widowControl w:val="0"/>
              <w:kinsoku/>
              <w:wordWrap/>
              <w:overflowPunct/>
              <w:topLinePunct w:val="0"/>
              <w:autoSpaceDE/>
              <w:autoSpaceDN/>
              <w:bidi w:val="0"/>
              <w:adjustRightInd w:val="0"/>
              <w:snapToGrid w:val="0"/>
              <w:spacing w:line="480" w:lineRule="atLeast"/>
              <w:jc w:val="both"/>
              <w:textAlignment w:val="auto"/>
              <w:rPr>
                <w:rFonts w:ascii="宋体"/>
                <w:color w:val="000000"/>
                <w:kern w:val="0"/>
                <w:sz w:val="24"/>
                <w:szCs w:val="24"/>
              </w:rPr>
            </w:pPr>
            <w:r>
              <w:rPr>
                <w:rFonts w:hint="eastAsia" w:ascii="宋体" w:hAnsi="宋体" w:cs="宋体"/>
                <w:color w:val="000000"/>
                <w:kern w:val="0"/>
                <w:sz w:val="24"/>
                <w:szCs w:val="24"/>
              </w:rPr>
              <w:t>地点</w:t>
            </w:r>
          </w:p>
        </w:tc>
        <w:tc>
          <w:tcPr>
            <w:tcW w:w="7800" w:type="dxa"/>
            <w:tcBorders>
              <w:top w:val="single" w:color="auto" w:sz="4" w:space="0"/>
              <w:left w:val="single" w:color="auto" w:sz="4" w:space="0"/>
              <w:bottom w:val="single" w:color="auto" w:sz="4" w:space="0"/>
              <w:right w:val="single" w:color="auto" w:sz="4" w:space="0"/>
            </w:tcBorders>
            <w:vAlign w:val="top"/>
          </w:tcPr>
          <w:p w14:paraId="20B662E3">
            <w:pPr>
              <w:spacing w:line="480" w:lineRule="atLeast"/>
              <w:rPr>
                <w:rFonts w:hint="eastAsia" w:ascii="宋体" w:eastAsia="宋体"/>
                <w:color w:val="000000"/>
                <w:kern w:val="0"/>
                <w:sz w:val="24"/>
                <w:szCs w:val="24"/>
                <w:lang w:val="en-US" w:eastAsia="zh-CN"/>
              </w:rPr>
            </w:pPr>
            <w:r>
              <w:rPr>
                <w:rFonts w:hint="eastAsia" w:ascii="宋体" w:hAnsi="宋体" w:cs="宋体"/>
                <w:color w:val="000000"/>
                <w:kern w:val="0"/>
                <w:sz w:val="24"/>
                <w:szCs w:val="24"/>
                <w:lang w:eastAsia="zh-CN"/>
              </w:rPr>
              <w:t>中节能万润股份有限公司本部</w:t>
            </w:r>
            <w:r>
              <w:rPr>
                <w:rFonts w:hint="eastAsia" w:ascii="宋体" w:hAnsi="宋体" w:cs="宋体"/>
                <w:color w:val="000000"/>
                <w:kern w:val="0"/>
                <w:sz w:val="24"/>
                <w:szCs w:val="24"/>
                <w:lang w:val="en-US" w:eastAsia="zh-CN"/>
              </w:rPr>
              <w:t>会议室</w:t>
            </w:r>
          </w:p>
        </w:tc>
      </w:tr>
      <w:tr w14:paraId="1876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vAlign w:val="center"/>
          </w:tcPr>
          <w:p w14:paraId="569DFFAF">
            <w:pPr>
              <w:keepNext w:val="0"/>
              <w:keepLines w:val="0"/>
              <w:pageBreakBefore w:val="0"/>
              <w:widowControl w:val="0"/>
              <w:kinsoku/>
              <w:wordWrap/>
              <w:overflowPunct/>
              <w:topLinePunct w:val="0"/>
              <w:autoSpaceDE/>
              <w:autoSpaceDN/>
              <w:bidi w:val="0"/>
              <w:adjustRightInd w:val="0"/>
              <w:snapToGrid w:val="0"/>
              <w:spacing w:line="480" w:lineRule="atLeast"/>
              <w:jc w:val="both"/>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形式</w:t>
            </w:r>
          </w:p>
        </w:tc>
        <w:tc>
          <w:tcPr>
            <w:tcW w:w="7800" w:type="dxa"/>
            <w:tcBorders>
              <w:top w:val="single" w:color="auto" w:sz="4" w:space="0"/>
              <w:left w:val="single" w:color="auto" w:sz="4" w:space="0"/>
              <w:bottom w:val="single" w:color="auto" w:sz="4" w:space="0"/>
              <w:right w:val="single" w:color="auto" w:sz="4" w:space="0"/>
            </w:tcBorders>
            <w:vAlign w:val="top"/>
          </w:tcPr>
          <w:p w14:paraId="4116A512">
            <w:pPr>
              <w:spacing w:line="480" w:lineRule="atLeast"/>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现场会议</w:t>
            </w:r>
          </w:p>
        </w:tc>
      </w:tr>
      <w:tr w14:paraId="1E69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vAlign w:val="center"/>
          </w:tcPr>
          <w:p w14:paraId="17765E5C">
            <w:pPr>
              <w:spacing w:line="480" w:lineRule="atLeast"/>
              <w:rPr>
                <w:rFonts w:ascii="宋体"/>
                <w:color w:val="000000"/>
                <w:kern w:val="0"/>
                <w:sz w:val="24"/>
                <w:szCs w:val="24"/>
              </w:rPr>
            </w:pPr>
            <w:r>
              <w:rPr>
                <w:rFonts w:hint="eastAsia" w:ascii="宋体" w:hAnsi="宋体" w:cs="宋体"/>
                <w:color w:val="000000"/>
                <w:kern w:val="0"/>
                <w:sz w:val="24"/>
                <w:szCs w:val="24"/>
              </w:rPr>
              <w:t>上市公司接待人员姓名</w:t>
            </w:r>
          </w:p>
        </w:tc>
        <w:tc>
          <w:tcPr>
            <w:tcW w:w="7800" w:type="dxa"/>
            <w:tcBorders>
              <w:top w:val="single" w:color="auto" w:sz="4" w:space="0"/>
              <w:left w:val="single" w:color="auto" w:sz="4" w:space="0"/>
              <w:bottom w:val="single" w:color="auto" w:sz="4" w:space="0"/>
              <w:right w:val="single" w:color="auto" w:sz="4" w:space="0"/>
            </w:tcBorders>
            <w:vAlign w:val="top"/>
          </w:tcPr>
          <w:p w14:paraId="75B0B6F6">
            <w:pPr>
              <w:spacing w:line="480" w:lineRule="atLeast"/>
              <w:rPr>
                <w:rFonts w:hint="eastAsia" w:ascii="宋体" w:hAnsi="宋体" w:cs="宋体"/>
                <w:color w:val="000000"/>
                <w:kern w:val="0"/>
                <w:sz w:val="24"/>
                <w:szCs w:val="24"/>
              </w:rPr>
            </w:pPr>
            <w:r>
              <w:rPr>
                <w:rFonts w:hint="eastAsia" w:ascii="宋体" w:hAnsi="宋体" w:cs="宋体"/>
                <w:color w:val="000000"/>
                <w:kern w:val="0"/>
                <w:sz w:val="24"/>
                <w:szCs w:val="24"/>
              </w:rPr>
              <w:t>董事会秘书：于书敏</w:t>
            </w:r>
          </w:p>
          <w:p w14:paraId="4A969EF9">
            <w:pPr>
              <w:spacing w:line="480" w:lineRule="atLeast"/>
              <w:rPr>
                <w:rFonts w:ascii="宋体" w:hAnsi="宋体" w:cs="宋体"/>
                <w:color w:val="000000"/>
                <w:kern w:val="0"/>
                <w:sz w:val="24"/>
                <w:szCs w:val="24"/>
              </w:rPr>
            </w:pPr>
            <w:r>
              <w:rPr>
                <w:rFonts w:hint="eastAsia" w:ascii="宋体" w:hAnsi="宋体" w:cs="宋体"/>
                <w:color w:val="000000"/>
                <w:kern w:val="0"/>
                <w:sz w:val="24"/>
                <w:szCs w:val="24"/>
              </w:rPr>
              <w:t>证券部其他工作人员</w:t>
            </w:r>
          </w:p>
        </w:tc>
      </w:tr>
      <w:tr w14:paraId="670F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798" w:type="dxa"/>
            <w:tcBorders>
              <w:top w:val="single" w:color="auto" w:sz="4" w:space="0"/>
              <w:left w:val="single" w:color="auto" w:sz="4" w:space="0"/>
              <w:bottom w:val="single" w:color="auto" w:sz="4" w:space="0"/>
              <w:right w:val="single" w:color="auto" w:sz="4" w:space="0"/>
            </w:tcBorders>
            <w:vAlign w:val="center"/>
          </w:tcPr>
          <w:p w14:paraId="1898E48F">
            <w:pPr>
              <w:widowControl/>
              <w:shd w:val="clear" w:color="auto" w:fill="FFFFFF"/>
              <w:spacing w:line="360" w:lineRule="atLeast"/>
              <w:rPr>
                <w:rFonts w:ascii="宋体" w:hAnsi="宋体"/>
                <w:color w:val="000000"/>
                <w:kern w:val="0"/>
                <w:sz w:val="24"/>
                <w:szCs w:val="24"/>
              </w:rPr>
            </w:pPr>
            <w:r>
              <w:rPr>
                <w:rFonts w:hint="eastAsia" w:ascii="宋体" w:hAnsi="宋体"/>
                <w:color w:val="000000"/>
                <w:kern w:val="0"/>
                <w:sz w:val="24"/>
                <w:szCs w:val="24"/>
                <w:lang w:eastAsia="zh-CN"/>
              </w:rPr>
              <w:t>交流内容及具体问答记录</w:t>
            </w:r>
          </w:p>
        </w:tc>
        <w:tc>
          <w:tcPr>
            <w:tcW w:w="7800" w:type="dxa"/>
            <w:tcBorders>
              <w:top w:val="single" w:color="auto" w:sz="4" w:space="0"/>
              <w:left w:val="single" w:color="auto" w:sz="4" w:space="0"/>
              <w:bottom w:val="single" w:color="auto" w:sz="4" w:space="0"/>
              <w:right w:val="single" w:color="auto" w:sz="4" w:space="0"/>
            </w:tcBorders>
            <w:vAlign w:val="top"/>
          </w:tcPr>
          <w:p w14:paraId="6A9FFFE7">
            <w:pPr>
              <w:keepNext w:val="0"/>
              <w:keepLines w:val="0"/>
              <w:pageBreakBefore w:val="0"/>
              <w:widowControl w:val="0"/>
              <w:numPr>
                <w:ilvl w:val="0"/>
                <w:numId w:val="0"/>
              </w:numPr>
              <w:tabs>
                <w:tab w:val="left" w:pos="720"/>
              </w:tabs>
              <w:kinsoku/>
              <w:wordWrap/>
              <w:overflowPunct/>
              <w:topLinePunct w:val="0"/>
              <w:autoSpaceDE w:val="0"/>
              <w:autoSpaceDN w:val="0"/>
              <w:bidi w:val="0"/>
              <w:adjustRightInd w:val="0"/>
              <w:snapToGrid/>
              <w:spacing w:before="157" w:beforeLines="50"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1、问：公司股东的增持和公司自身的回购都在进行中么？</w:t>
            </w:r>
          </w:p>
          <w:p w14:paraId="39C819F1">
            <w:pPr>
              <w:numPr>
                <w:ilvl w:val="0"/>
                <w:numId w:val="0"/>
              </w:numPr>
              <w:overflowPunct w:val="0"/>
              <w:autoSpaceDE w:val="0"/>
              <w:autoSpaceDN w:val="0"/>
              <w:adjustRightInd w:val="0"/>
              <w:spacing w:beforeLines="0" w:line="360" w:lineRule="auto"/>
              <w:ind w:firstLine="482" w:firstLineChars="200"/>
              <w:outlineLvl w:val="9"/>
              <w:rPr>
                <w:rFonts w:hint="eastAsia"/>
                <w:sz w:val="24"/>
                <w:szCs w:val="24"/>
                <w:lang w:val="en-US" w:eastAsia="zh-CN"/>
              </w:rPr>
            </w:pPr>
            <w:r>
              <w:rPr>
                <w:rFonts w:hint="eastAsia"/>
                <w:b/>
                <w:bCs/>
                <w:sz w:val="24"/>
                <w:szCs w:val="24"/>
                <w:lang w:val="en-US" w:eastAsia="zh-CN"/>
              </w:rPr>
              <w:t>答：</w:t>
            </w:r>
            <w:r>
              <w:rPr>
                <w:rFonts w:hint="eastAsia"/>
                <w:sz w:val="24"/>
                <w:szCs w:val="24"/>
                <w:lang w:val="en-US" w:eastAsia="zh-CN"/>
              </w:rPr>
              <w:t>公司股东的增持与公司回购都在推进中，主要涉及三项工作：</w:t>
            </w:r>
          </w:p>
          <w:p w14:paraId="4C6FC2B8">
            <w:pPr>
              <w:numPr>
                <w:ilvl w:val="0"/>
                <w:numId w:val="0"/>
              </w:numPr>
              <w:overflowPunct w:val="0"/>
              <w:autoSpaceDE w:val="0"/>
              <w:autoSpaceDN w:val="0"/>
              <w:adjustRightInd w:val="0"/>
              <w:spacing w:beforeLines="0" w:line="360" w:lineRule="auto"/>
              <w:ind w:firstLine="480" w:firstLineChars="200"/>
              <w:outlineLvl w:val="9"/>
              <w:rPr>
                <w:rFonts w:hint="eastAsia"/>
                <w:sz w:val="24"/>
                <w:szCs w:val="24"/>
                <w:lang w:val="en-US" w:eastAsia="zh-CN"/>
              </w:rPr>
            </w:pPr>
            <w:r>
              <w:rPr>
                <w:rFonts w:hint="eastAsia"/>
                <w:sz w:val="24"/>
                <w:szCs w:val="24"/>
                <w:lang w:val="en-US" w:eastAsia="zh-CN"/>
              </w:rPr>
              <w:t>（1）公司</w:t>
            </w:r>
            <w:r>
              <w:rPr>
                <w:rFonts w:hint="default"/>
                <w:sz w:val="24"/>
                <w:szCs w:val="24"/>
                <w:lang w:val="en-US" w:eastAsia="zh-CN"/>
              </w:rPr>
              <w:t>股东鲁银投资</w:t>
            </w:r>
            <w:r>
              <w:rPr>
                <w:rFonts w:hint="eastAsia"/>
                <w:sz w:val="24"/>
                <w:szCs w:val="24"/>
                <w:lang w:val="en-US" w:eastAsia="zh-CN"/>
              </w:rPr>
              <w:t>的增持计划正在实施中，其</w:t>
            </w:r>
            <w:r>
              <w:rPr>
                <w:rFonts w:hint="default"/>
                <w:sz w:val="24"/>
                <w:szCs w:val="24"/>
                <w:lang w:val="en-US" w:eastAsia="zh-CN"/>
              </w:rPr>
              <w:t>增持金额</w:t>
            </w:r>
            <w:r>
              <w:rPr>
                <w:rFonts w:hint="eastAsia"/>
                <w:sz w:val="24"/>
                <w:szCs w:val="24"/>
                <w:lang w:val="en-US" w:eastAsia="zh-CN"/>
              </w:rPr>
              <w:t>已经超过计划的下限</w:t>
            </w:r>
            <w:r>
              <w:rPr>
                <w:rFonts w:hint="default"/>
                <w:sz w:val="24"/>
                <w:szCs w:val="24"/>
                <w:lang w:val="en-US" w:eastAsia="zh-CN"/>
              </w:rPr>
              <w:t>1.25亿</w:t>
            </w:r>
            <w:r>
              <w:rPr>
                <w:rFonts w:hint="eastAsia"/>
                <w:sz w:val="24"/>
                <w:szCs w:val="24"/>
                <w:lang w:val="en-US" w:eastAsia="zh-CN"/>
              </w:rPr>
              <w:t>元，尚未达到上限</w:t>
            </w:r>
            <w:r>
              <w:rPr>
                <w:rFonts w:hint="default"/>
                <w:sz w:val="24"/>
                <w:szCs w:val="24"/>
                <w:lang w:val="en-US" w:eastAsia="zh-CN"/>
              </w:rPr>
              <w:t>2.5亿元</w:t>
            </w:r>
            <w:r>
              <w:rPr>
                <w:rFonts w:hint="eastAsia"/>
                <w:sz w:val="24"/>
                <w:szCs w:val="24"/>
                <w:lang w:val="en-US" w:eastAsia="zh-CN"/>
              </w:rPr>
              <w:t>，后续若鲁银投资权益变动触及1%整数倍以及回购金额达到增持计划上限或增持计划实施期限届满，公司会及时进行公告。</w:t>
            </w:r>
          </w:p>
          <w:p w14:paraId="20945385">
            <w:pPr>
              <w:numPr>
                <w:ilvl w:val="0"/>
                <w:numId w:val="0"/>
              </w:numPr>
              <w:overflowPunct w:val="0"/>
              <w:autoSpaceDE w:val="0"/>
              <w:autoSpaceDN w:val="0"/>
              <w:adjustRightInd w:val="0"/>
              <w:spacing w:beforeLines="0" w:line="360" w:lineRule="auto"/>
              <w:ind w:firstLine="480" w:firstLineChars="200"/>
              <w:outlineLvl w:val="9"/>
              <w:rPr>
                <w:rFonts w:hint="eastAsia"/>
                <w:sz w:val="24"/>
                <w:szCs w:val="24"/>
                <w:lang w:val="en-US" w:eastAsia="zh-CN"/>
              </w:rPr>
            </w:pPr>
            <w:r>
              <w:rPr>
                <w:rFonts w:hint="eastAsia"/>
                <w:sz w:val="24"/>
                <w:szCs w:val="24"/>
                <w:lang w:val="en-US" w:eastAsia="zh-CN"/>
              </w:rPr>
              <w:t>（2）公司回购</w:t>
            </w:r>
            <w:r>
              <w:rPr>
                <w:rFonts w:hint="default"/>
                <w:sz w:val="24"/>
                <w:szCs w:val="24"/>
                <w:lang w:val="en-US" w:eastAsia="zh-CN"/>
              </w:rPr>
              <w:t>金额</w:t>
            </w:r>
            <w:r>
              <w:rPr>
                <w:rFonts w:hint="eastAsia"/>
                <w:sz w:val="24"/>
                <w:szCs w:val="24"/>
                <w:lang w:val="en-US" w:eastAsia="zh-CN"/>
              </w:rPr>
              <w:t>1亿元至2亿元的回购股份方案正在推进中，在首次实施回购后，公司会及时进行公告。本次回购的股份将用于</w:t>
            </w:r>
            <w:r>
              <w:rPr>
                <w:rFonts w:hint="default"/>
                <w:sz w:val="24"/>
                <w:szCs w:val="24"/>
                <w:lang w:val="en-US" w:eastAsia="zh-CN"/>
              </w:rPr>
              <w:t>减少公司注册资本</w:t>
            </w:r>
            <w:r>
              <w:rPr>
                <w:rFonts w:hint="eastAsia"/>
                <w:sz w:val="24"/>
                <w:szCs w:val="24"/>
                <w:lang w:val="en-US" w:eastAsia="zh-CN"/>
              </w:rPr>
              <w:t>，以增厚每股收益，提升公司长期价值。</w:t>
            </w:r>
          </w:p>
          <w:p w14:paraId="1E863126">
            <w:pPr>
              <w:numPr>
                <w:ilvl w:val="0"/>
                <w:numId w:val="0"/>
              </w:numPr>
              <w:overflowPunct w:val="0"/>
              <w:autoSpaceDE w:val="0"/>
              <w:autoSpaceDN w:val="0"/>
              <w:adjustRightInd w:val="0"/>
              <w:spacing w:beforeLines="0" w:line="360" w:lineRule="auto"/>
              <w:ind w:firstLine="480" w:firstLineChars="200"/>
              <w:outlineLvl w:val="9"/>
              <w:rPr>
                <w:rFonts w:hint="eastAsia"/>
                <w:sz w:val="24"/>
                <w:szCs w:val="24"/>
                <w:lang w:val="en-US" w:eastAsia="zh-CN"/>
              </w:rPr>
            </w:pPr>
            <w:r>
              <w:rPr>
                <w:rFonts w:hint="eastAsia"/>
                <w:sz w:val="24"/>
                <w:szCs w:val="24"/>
                <w:lang w:val="en-US" w:eastAsia="zh-CN"/>
              </w:rPr>
              <w:t>（3）公司限制性股票激励计划涉及回购注销的限制性股票数量合计7,009,780股，目前正在履行债权人公示程序，相关股份回购注销完成后也将相应增厚每股收益。</w:t>
            </w:r>
          </w:p>
          <w:p w14:paraId="4EBAA3E7">
            <w:pPr>
              <w:numPr>
                <w:ilvl w:val="0"/>
                <w:numId w:val="0"/>
              </w:numPr>
              <w:tabs>
                <w:tab w:val="left" w:pos="720"/>
              </w:tabs>
              <w:autoSpaceDE w:val="0"/>
              <w:autoSpaceDN w:val="0"/>
              <w:adjustRightInd w:val="0"/>
              <w:spacing w:line="360" w:lineRule="auto"/>
              <w:ind w:firstLine="480" w:firstLineChars="200"/>
              <w:rPr>
                <w:rFonts w:hint="eastAsia"/>
                <w:sz w:val="24"/>
                <w:szCs w:val="24"/>
                <w:lang w:val="en-US" w:eastAsia="zh-CN"/>
              </w:rPr>
            </w:pPr>
          </w:p>
          <w:p w14:paraId="4600316D">
            <w:pPr>
              <w:numPr>
                <w:ilvl w:val="0"/>
                <w:numId w:val="0"/>
              </w:numPr>
              <w:shd w:val="clear"/>
              <w:tabs>
                <w:tab w:val="left" w:pos="720"/>
              </w:tabs>
              <w:autoSpaceDE w:val="0"/>
              <w:autoSpaceDN w:val="0"/>
              <w:adjustRightInd w:val="0"/>
              <w:spacing w:line="360" w:lineRule="auto"/>
              <w:ind w:firstLine="482" w:firstLineChars="200"/>
              <w:rPr>
                <w:rFonts w:hint="default"/>
                <w:b/>
                <w:bCs/>
                <w:sz w:val="24"/>
                <w:szCs w:val="24"/>
                <w:highlight w:val="none"/>
                <w:lang w:val="en-US" w:eastAsia="zh-CN"/>
              </w:rPr>
            </w:pPr>
            <w:r>
              <w:rPr>
                <w:rFonts w:hint="eastAsia"/>
                <w:b/>
                <w:bCs/>
                <w:sz w:val="24"/>
                <w:szCs w:val="24"/>
                <w:highlight w:val="none"/>
                <w:lang w:val="en-US" w:eastAsia="zh-CN"/>
              </w:rPr>
              <w:t>2、问：公司今年3月份与中国石化催化剂有限公司签署了《项目合作意向书》，能否就此次合作事项做一些展望？</w:t>
            </w:r>
          </w:p>
          <w:p w14:paraId="0C0E515C">
            <w:pPr>
              <w:numPr>
                <w:ilvl w:val="0"/>
                <w:numId w:val="0"/>
              </w:numPr>
              <w:shd w:val="clear"/>
              <w:tabs>
                <w:tab w:val="left" w:pos="720"/>
              </w:tabs>
              <w:autoSpaceDE w:val="0"/>
              <w:autoSpaceDN w:val="0"/>
              <w:adjustRightInd w:val="0"/>
              <w:spacing w:line="360" w:lineRule="auto"/>
              <w:ind w:firstLine="482" w:firstLineChars="200"/>
              <w:rPr>
                <w:rFonts w:hint="eastAsia"/>
                <w:sz w:val="24"/>
                <w:szCs w:val="24"/>
                <w:highlight w:val="none"/>
                <w:lang w:val="en-US" w:eastAsia="zh-CN"/>
              </w:rPr>
            </w:pPr>
            <w:r>
              <w:rPr>
                <w:rFonts w:hint="eastAsia"/>
                <w:b/>
                <w:bCs/>
                <w:sz w:val="24"/>
                <w:szCs w:val="24"/>
                <w:highlight w:val="none"/>
                <w:lang w:val="en-US" w:eastAsia="zh-CN"/>
              </w:rPr>
              <w:t>答：</w:t>
            </w:r>
            <w:r>
              <w:rPr>
                <w:rFonts w:hint="eastAsia"/>
                <w:sz w:val="24"/>
                <w:szCs w:val="24"/>
                <w:highlight w:val="none"/>
                <w:lang w:val="en-US" w:eastAsia="zh-CN"/>
              </w:rPr>
              <w:t>公司与中国石化催化剂有限公司签署《项目合作意向书》有利于实现双方的资源共享与技术互补，公司未来和中国石化催化剂有限公司合作主要在石油化工催化领域的模板剂与沸石分子筛等产品领域，我们力争在2025年实现与其产品业务合作，因未来如与其产生业务往来属于关联交易，达到相应标准后会披露。</w:t>
            </w:r>
          </w:p>
          <w:p w14:paraId="41805A43">
            <w:pPr>
              <w:numPr>
                <w:ilvl w:val="0"/>
                <w:numId w:val="0"/>
              </w:numPr>
              <w:tabs>
                <w:tab w:val="left" w:pos="720"/>
              </w:tabs>
              <w:autoSpaceDE w:val="0"/>
              <w:autoSpaceDN w:val="0"/>
              <w:adjustRightInd w:val="0"/>
              <w:spacing w:line="360" w:lineRule="auto"/>
              <w:ind w:firstLine="480" w:firstLineChars="200"/>
              <w:rPr>
                <w:rFonts w:hint="eastAsia"/>
                <w:sz w:val="24"/>
                <w:szCs w:val="24"/>
                <w:lang w:val="en-US" w:eastAsia="zh-CN"/>
              </w:rPr>
            </w:pPr>
          </w:p>
          <w:p w14:paraId="48DF4A66">
            <w:pPr>
              <w:numPr>
                <w:ilvl w:val="0"/>
                <w:numId w:val="0"/>
              </w:numPr>
              <w:tabs>
                <w:tab w:val="left" w:pos="720"/>
              </w:tabs>
              <w:autoSpaceDE w:val="0"/>
              <w:autoSpaceDN w:val="0"/>
              <w:adjustRightInd w:val="0"/>
              <w:spacing w:line="360" w:lineRule="auto"/>
              <w:ind w:firstLine="482" w:firstLineChars="200"/>
              <w:rPr>
                <w:rFonts w:hint="eastAsia"/>
                <w:b/>
                <w:bCs/>
                <w:sz w:val="24"/>
                <w:szCs w:val="24"/>
                <w:lang w:val="en-US" w:eastAsia="zh-CN"/>
              </w:rPr>
            </w:pPr>
            <w:r>
              <w:rPr>
                <w:rFonts w:hint="eastAsia"/>
                <w:b/>
                <w:bCs/>
                <w:sz w:val="24"/>
                <w:szCs w:val="24"/>
                <w:lang w:val="en-US" w:eastAsia="zh-CN"/>
              </w:rPr>
              <w:t>3、问：公司半导体制造材料是否有扩产计划，现有的半导体材料产能都已经投入使用了么？</w:t>
            </w:r>
          </w:p>
          <w:p w14:paraId="3B4EE037">
            <w:pPr>
              <w:numPr>
                <w:ilvl w:val="0"/>
                <w:numId w:val="0"/>
              </w:numPr>
              <w:tabs>
                <w:tab w:val="left" w:pos="720"/>
              </w:tabs>
              <w:autoSpaceDE w:val="0"/>
              <w:autoSpaceDN w:val="0"/>
              <w:adjustRightInd w:val="0"/>
              <w:spacing w:line="360" w:lineRule="auto"/>
              <w:ind w:firstLine="482" w:firstLineChars="200"/>
              <w:rPr>
                <w:rFonts w:hint="eastAsia"/>
                <w:sz w:val="24"/>
                <w:szCs w:val="24"/>
                <w:lang w:val="en-US" w:eastAsia="zh-CN"/>
              </w:rPr>
            </w:pPr>
            <w:r>
              <w:rPr>
                <w:rFonts w:hint="eastAsia"/>
                <w:b/>
                <w:bCs/>
                <w:sz w:val="24"/>
                <w:szCs w:val="24"/>
                <w:lang w:val="en-US" w:eastAsia="zh-CN"/>
              </w:rPr>
              <w:t>答：</w:t>
            </w:r>
            <w:r>
              <w:rPr>
                <w:rFonts w:hint="eastAsia"/>
                <w:sz w:val="24"/>
                <w:szCs w:val="24"/>
                <w:lang w:val="en-US" w:eastAsia="zh-CN"/>
              </w:rPr>
              <w:t>公司目前有半导体材料的扩产计划，即计划投资不超过3亿元建设C05项目。该项目初步计划包括半导体制造材料和聚酰亚胺材料两类产品，目前已经开展了环境影响报告书公示等前期筹备工作。其中半导体制造材料主要为半导体光刻胶单体、树脂等以及部分以客户未来定制为导向的配套材料；聚酰亚胺材料主要为显示用取向剂。筹备该项目主要是结合下游未来可能产生的更大需求，且建设该类型项目需要一定周期，预计在</w:t>
            </w:r>
            <w:r>
              <w:rPr>
                <w:rFonts w:hint="default"/>
                <w:sz w:val="24"/>
                <w:szCs w:val="24"/>
                <w:lang w:val="en-US" w:eastAsia="zh-CN"/>
              </w:rPr>
              <w:t>获得有关行政许可</w:t>
            </w:r>
            <w:r>
              <w:rPr>
                <w:rFonts w:hint="eastAsia"/>
                <w:sz w:val="24"/>
                <w:szCs w:val="24"/>
                <w:lang w:val="en-US" w:eastAsia="zh-CN"/>
              </w:rPr>
              <w:t>及</w:t>
            </w:r>
            <w:r>
              <w:rPr>
                <w:rFonts w:hint="default"/>
                <w:sz w:val="24"/>
                <w:szCs w:val="24"/>
                <w:lang w:val="en-US" w:eastAsia="zh-CN"/>
              </w:rPr>
              <w:t>审批后，</w:t>
            </w:r>
            <w:r>
              <w:rPr>
                <w:rFonts w:hint="eastAsia"/>
                <w:sz w:val="24"/>
                <w:szCs w:val="24"/>
                <w:lang w:val="en-US" w:eastAsia="zh-CN"/>
              </w:rPr>
              <w:t>两年左右</w:t>
            </w:r>
            <w:r>
              <w:rPr>
                <w:rFonts w:hint="default"/>
                <w:sz w:val="24"/>
                <w:szCs w:val="24"/>
                <w:lang w:val="en-US" w:eastAsia="zh-CN"/>
              </w:rPr>
              <w:t>完成</w:t>
            </w:r>
            <w:r>
              <w:rPr>
                <w:rFonts w:hint="eastAsia"/>
                <w:sz w:val="24"/>
                <w:szCs w:val="24"/>
                <w:lang w:val="en-US" w:eastAsia="zh-CN"/>
              </w:rPr>
              <w:t>建设。该项目设计理论产能过千吨，但因为不同结构产品的生产周期存在差异，实际建成后的产能配置将依据下游客户需求进行动态调整。目前公司现有的半导体材料产能均已经投入使用。</w:t>
            </w:r>
          </w:p>
          <w:p w14:paraId="7215C988">
            <w:pPr>
              <w:numPr>
                <w:ilvl w:val="0"/>
                <w:numId w:val="0"/>
              </w:numPr>
              <w:tabs>
                <w:tab w:val="left" w:pos="720"/>
              </w:tabs>
              <w:autoSpaceDE w:val="0"/>
              <w:autoSpaceDN w:val="0"/>
              <w:adjustRightInd w:val="0"/>
              <w:spacing w:line="360" w:lineRule="auto"/>
              <w:ind w:firstLine="480" w:firstLineChars="200"/>
              <w:rPr>
                <w:rFonts w:hint="eastAsia"/>
                <w:sz w:val="24"/>
                <w:szCs w:val="24"/>
                <w:lang w:val="en-US" w:eastAsia="zh-CN"/>
              </w:rPr>
            </w:pPr>
          </w:p>
          <w:p w14:paraId="6896AFE2">
            <w:pPr>
              <w:numPr>
                <w:ilvl w:val="0"/>
                <w:numId w:val="0"/>
              </w:numPr>
              <w:tabs>
                <w:tab w:val="left" w:pos="720"/>
              </w:tabs>
              <w:autoSpaceDE w:val="0"/>
              <w:autoSpaceDN w:val="0"/>
              <w:adjustRightInd w:val="0"/>
              <w:spacing w:line="360" w:lineRule="auto"/>
              <w:ind w:firstLine="482" w:firstLineChars="200"/>
              <w:rPr>
                <w:rFonts w:hint="eastAsia"/>
                <w:b/>
                <w:bCs/>
                <w:sz w:val="24"/>
                <w:szCs w:val="24"/>
                <w:lang w:val="en-US" w:eastAsia="zh-CN"/>
              </w:rPr>
            </w:pPr>
            <w:r>
              <w:rPr>
                <w:rFonts w:hint="eastAsia"/>
                <w:b/>
                <w:bCs/>
                <w:sz w:val="24"/>
                <w:szCs w:val="24"/>
                <w:lang w:val="en-US" w:eastAsia="zh-CN"/>
              </w:rPr>
              <w:t>4、问：公司二季度经营业绩情况如何？</w:t>
            </w:r>
          </w:p>
          <w:p w14:paraId="4EF2CE62">
            <w:pPr>
              <w:numPr>
                <w:ilvl w:val="0"/>
                <w:numId w:val="0"/>
              </w:numPr>
              <w:tabs>
                <w:tab w:val="left" w:pos="720"/>
              </w:tabs>
              <w:autoSpaceDE w:val="0"/>
              <w:autoSpaceDN w:val="0"/>
              <w:adjustRightInd w:val="0"/>
              <w:spacing w:line="360" w:lineRule="auto"/>
              <w:ind w:firstLine="482" w:firstLineChars="200"/>
              <w:rPr>
                <w:rFonts w:hint="eastAsia"/>
                <w:sz w:val="24"/>
                <w:szCs w:val="24"/>
                <w:lang w:val="en-US" w:eastAsia="zh-CN"/>
              </w:rPr>
            </w:pPr>
            <w:r>
              <w:rPr>
                <w:rFonts w:hint="eastAsia"/>
                <w:b/>
                <w:bCs/>
                <w:sz w:val="24"/>
                <w:szCs w:val="24"/>
                <w:lang w:val="en-US" w:eastAsia="zh-CN"/>
              </w:rPr>
              <w:t>答：</w:t>
            </w:r>
            <w:r>
              <w:rPr>
                <w:rFonts w:hint="eastAsia"/>
                <w:sz w:val="24"/>
                <w:szCs w:val="24"/>
                <w:lang w:val="en-US" w:eastAsia="zh-CN"/>
              </w:rPr>
              <w:t>公司上半年的业绩情况</w:t>
            </w:r>
            <w:r>
              <w:rPr>
                <w:rFonts w:hint="default"/>
                <w:sz w:val="24"/>
                <w:szCs w:val="24"/>
                <w:lang w:val="en-US" w:eastAsia="zh-CN"/>
              </w:rPr>
              <w:t>需要看</w:t>
            </w:r>
            <w:r>
              <w:rPr>
                <w:rFonts w:hint="eastAsia"/>
                <w:sz w:val="24"/>
                <w:szCs w:val="24"/>
                <w:lang w:val="en-US" w:eastAsia="zh-CN"/>
              </w:rPr>
              <w:t>公司半年报，计划于8月22日公告。</w:t>
            </w:r>
          </w:p>
          <w:p w14:paraId="6B4F7C64">
            <w:pPr>
              <w:numPr>
                <w:ilvl w:val="0"/>
                <w:numId w:val="0"/>
              </w:numPr>
              <w:tabs>
                <w:tab w:val="left" w:pos="720"/>
              </w:tabs>
              <w:autoSpaceDE w:val="0"/>
              <w:autoSpaceDN w:val="0"/>
              <w:adjustRightInd w:val="0"/>
              <w:spacing w:line="360" w:lineRule="auto"/>
              <w:ind w:firstLine="480" w:firstLineChars="200"/>
              <w:rPr>
                <w:rFonts w:hint="eastAsia"/>
                <w:sz w:val="24"/>
                <w:szCs w:val="24"/>
                <w:lang w:val="en-US" w:eastAsia="zh-CN"/>
              </w:rPr>
            </w:pPr>
          </w:p>
          <w:p w14:paraId="53AEF7FE">
            <w:pPr>
              <w:numPr>
                <w:ilvl w:val="0"/>
                <w:numId w:val="0"/>
              </w:numPr>
              <w:tabs>
                <w:tab w:val="left" w:pos="720"/>
              </w:tabs>
              <w:autoSpaceDE w:val="0"/>
              <w:autoSpaceDN w:val="0"/>
              <w:adjustRightInd w:val="0"/>
              <w:spacing w:line="360" w:lineRule="auto"/>
              <w:ind w:firstLine="482" w:firstLineChars="20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5、问：公司蓬莱项目有哪些进展？</w:t>
            </w:r>
          </w:p>
          <w:p w14:paraId="00E43B11">
            <w:pPr>
              <w:numPr>
                <w:ilvl w:val="0"/>
                <w:numId w:val="0"/>
              </w:numPr>
              <w:tabs>
                <w:tab w:val="left" w:pos="720"/>
              </w:tabs>
              <w:autoSpaceDE w:val="0"/>
              <w:autoSpaceDN w:val="0"/>
              <w:adjustRightInd w:val="0"/>
              <w:spacing w:line="360" w:lineRule="auto"/>
              <w:ind w:firstLine="482" w:firstLineChars="200"/>
              <w:rPr>
                <w:rFonts w:hint="eastAsia"/>
                <w:sz w:val="24"/>
                <w:szCs w:val="24"/>
                <w:lang w:val="en-US" w:eastAsia="zh-CN"/>
              </w:rPr>
            </w:pPr>
            <w:r>
              <w:rPr>
                <w:rFonts w:hint="eastAsia"/>
                <w:b/>
                <w:bCs/>
                <w:sz w:val="24"/>
                <w:szCs w:val="24"/>
                <w:lang w:val="en-US" w:eastAsia="zh-CN"/>
              </w:rPr>
              <w:t>答：</w:t>
            </w:r>
            <w:r>
              <w:rPr>
                <w:rFonts w:hint="eastAsia"/>
                <w:sz w:val="24"/>
                <w:szCs w:val="24"/>
                <w:lang w:val="en-US" w:eastAsia="zh-CN"/>
              </w:rPr>
              <w:t>目前公司“中节能万润（蓬莱）新材料一期建设项目”已有半导体材料生产场所开始试生产，后续</w:t>
            </w:r>
            <w:r>
              <w:rPr>
                <w:rFonts w:hint="eastAsia"/>
                <w:sz w:val="24"/>
                <w:szCs w:val="24"/>
              </w:rPr>
              <w:t>热塑性聚酰亚胺</w:t>
            </w:r>
            <w:r>
              <w:rPr>
                <w:rFonts w:hint="eastAsia"/>
                <w:sz w:val="24"/>
                <w:szCs w:val="24"/>
                <w:lang w:val="en-US" w:eastAsia="zh-CN"/>
              </w:rPr>
              <w:t>材料等产品也会陆续投入试生产。后续项目进展一方面取决于试生产的进程，另一方面取决于下游客户对新产线产品的验证与需求情况。</w:t>
            </w:r>
          </w:p>
          <w:p w14:paraId="68EC650B">
            <w:pPr>
              <w:numPr>
                <w:ilvl w:val="0"/>
                <w:numId w:val="0"/>
              </w:numPr>
              <w:tabs>
                <w:tab w:val="left" w:pos="720"/>
              </w:tabs>
              <w:autoSpaceDE w:val="0"/>
              <w:autoSpaceDN w:val="0"/>
              <w:adjustRightInd w:val="0"/>
              <w:spacing w:line="360" w:lineRule="auto"/>
              <w:rPr>
                <w:rFonts w:hint="eastAsia"/>
                <w:sz w:val="24"/>
                <w:szCs w:val="24"/>
                <w:lang w:val="en-US" w:eastAsia="zh-CN"/>
              </w:rPr>
            </w:pPr>
          </w:p>
          <w:p w14:paraId="6E6C5333">
            <w:pPr>
              <w:numPr>
                <w:ilvl w:val="0"/>
                <w:numId w:val="0"/>
              </w:numPr>
              <w:tabs>
                <w:tab w:val="left" w:pos="720"/>
              </w:tabs>
              <w:autoSpaceDE w:val="0"/>
              <w:autoSpaceDN w:val="0"/>
              <w:adjustRightInd w:val="0"/>
              <w:spacing w:line="360" w:lineRule="auto"/>
              <w:ind w:firstLine="482" w:firstLineChars="200"/>
              <w:rPr>
                <w:rFonts w:hint="eastAsia"/>
                <w:b/>
                <w:bCs/>
                <w:sz w:val="24"/>
                <w:szCs w:val="24"/>
                <w:lang w:val="en-US" w:eastAsia="zh-CN"/>
              </w:rPr>
            </w:pPr>
            <w:r>
              <w:rPr>
                <w:rFonts w:hint="eastAsia"/>
                <w:b/>
                <w:bCs/>
                <w:sz w:val="24"/>
                <w:szCs w:val="24"/>
                <w:lang w:val="en-US" w:eastAsia="zh-CN"/>
              </w:rPr>
              <w:t>6、问：固态电池方面公司有哪些进展，考虑做电池么？</w:t>
            </w:r>
          </w:p>
          <w:p w14:paraId="1A300E34">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firstLine="482" w:firstLineChars="200"/>
              <w:textAlignment w:val="auto"/>
              <w:rPr>
                <w:rFonts w:hint="eastAsia" w:cs="Times New Roman"/>
                <w:sz w:val="24"/>
                <w:szCs w:val="24"/>
                <w:lang w:val="en-US" w:eastAsia="zh-CN"/>
              </w:rPr>
            </w:pPr>
            <w:r>
              <w:rPr>
                <w:rFonts w:hint="eastAsia"/>
                <w:b/>
                <w:bCs/>
                <w:sz w:val="24"/>
                <w:szCs w:val="24"/>
                <w:lang w:val="en-US" w:eastAsia="zh-CN"/>
              </w:rPr>
              <w:t>答：</w:t>
            </w:r>
            <w:r>
              <w:rPr>
                <w:rFonts w:hint="eastAsia" w:ascii="Times New Roman" w:hAnsi="Times New Roman" w:eastAsia="宋体" w:cs="Times New Roman"/>
                <w:sz w:val="24"/>
                <w:szCs w:val="24"/>
                <w:lang w:val="en-US" w:eastAsia="zh-CN"/>
              </w:rPr>
              <w:t>公司在固态电池方面的研究主要还</w:t>
            </w:r>
            <w:r>
              <w:rPr>
                <w:rFonts w:hint="eastAsia" w:cs="Times New Roman"/>
                <w:sz w:val="24"/>
                <w:szCs w:val="24"/>
                <w:lang w:val="en-US" w:eastAsia="zh-CN"/>
              </w:rPr>
              <w:t>是</w:t>
            </w:r>
            <w:r>
              <w:rPr>
                <w:rFonts w:hint="eastAsia" w:ascii="Times New Roman" w:hAnsi="Times New Roman" w:eastAsia="宋体" w:cs="Times New Roman"/>
                <w:sz w:val="24"/>
                <w:szCs w:val="24"/>
                <w:lang w:val="en-US" w:eastAsia="zh-CN"/>
              </w:rPr>
              <w:t>聚焦</w:t>
            </w:r>
            <w:r>
              <w:rPr>
                <w:rFonts w:hint="eastAsia" w:cs="Times New Roman"/>
                <w:sz w:val="24"/>
                <w:szCs w:val="24"/>
                <w:lang w:val="en-US" w:eastAsia="zh-CN"/>
              </w:rPr>
              <w:t>在</w:t>
            </w:r>
            <w:r>
              <w:rPr>
                <w:rFonts w:hint="eastAsia" w:ascii="Times New Roman" w:hAnsi="Times New Roman" w:eastAsia="宋体" w:cs="Times New Roman"/>
                <w:sz w:val="24"/>
                <w:szCs w:val="24"/>
                <w:lang w:val="en-US" w:eastAsia="zh-CN"/>
              </w:rPr>
              <w:t>材料领域，没有生产电池的计划，前期我们与高校共同开展了一些前瞻性的材料研发和技术储备工作，有了一定的技术积累。目前我们在该领域主要工作是跟踪下游技术发展及市场变化，自主开发相应高纯度材料，在明确下游需求且完成产品开发后进行推广。</w:t>
            </w:r>
            <w:r>
              <w:rPr>
                <w:rFonts w:hint="eastAsia" w:cs="Times New Roman"/>
                <w:sz w:val="24"/>
                <w:szCs w:val="24"/>
                <w:lang w:val="en-US" w:eastAsia="zh-CN"/>
              </w:rPr>
              <w:t>目前相关材料处于实验室开发阶段。</w:t>
            </w:r>
          </w:p>
          <w:p w14:paraId="3F4322DB">
            <w:pPr>
              <w:pStyle w:val="2"/>
              <w:rPr>
                <w:rFonts w:hint="eastAsia" w:cs="Times New Roman"/>
                <w:sz w:val="24"/>
                <w:szCs w:val="24"/>
                <w:lang w:val="en-US" w:eastAsia="zh-CN"/>
              </w:rPr>
            </w:pPr>
          </w:p>
          <w:p w14:paraId="31A8EA5D">
            <w:pPr>
              <w:numPr>
                <w:ilvl w:val="0"/>
                <w:numId w:val="0"/>
              </w:numPr>
              <w:tabs>
                <w:tab w:val="left" w:pos="720"/>
              </w:tabs>
              <w:autoSpaceDE w:val="0"/>
              <w:autoSpaceDN w:val="0"/>
              <w:adjustRightInd w:val="0"/>
              <w:spacing w:line="360" w:lineRule="auto"/>
              <w:ind w:firstLine="482" w:firstLineChars="200"/>
              <w:rPr>
                <w:rFonts w:hint="default" w:ascii="Times New Roman" w:hAnsi="Times New Roman" w:cs="Times New Roman"/>
                <w:b/>
                <w:bCs/>
                <w:sz w:val="24"/>
                <w:szCs w:val="24"/>
                <w:highlight w:val="none"/>
                <w:lang w:val="en-US" w:eastAsia="zh-CN"/>
              </w:rPr>
            </w:pPr>
            <w:r>
              <w:rPr>
                <w:rFonts w:hint="eastAsia" w:ascii="Times New Roman" w:hAnsi="Times New Roman" w:cs="Times New Roman"/>
                <w:b/>
                <w:bCs/>
                <w:sz w:val="24"/>
                <w:szCs w:val="24"/>
                <w:highlight w:val="none"/>
                <w:lang w:val="en-US" w:eastAsia="zh-CN"/>
              </w:rPr>
              <w:t>7、问：能否简要介绍一下公司在高性能聚合物领域有哪些产品布局？目前进展如何？</w:t>
            </w:r>
          </w:p>
          <w:p w14:paraId="5E63D734">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firstLine="482" w:firstLineChars="200"/>
              <w:textAlignment w:val="auto"/>
              <w:rPr>
                <w:rFonts w:hint="default"/>
                <w:sz w:val="24"/>
                <w:szCs w:val="24"/>
                <w:highlight w:val="none"/>
                <w:lang w:val="en-US" w:eastAsia="zh-CN"/>
              </w:rPr>
            </w:pPr>
            <w:r>
              <w:rPr>
                <w:rFonts w:hint="eastAsia"/>
                <w:b/>
                <w:bCs/>
                <w:sz w:val="24"/>
                <w:szCs w:val="24"/>
                <w:highlight w:val="none"/>
                <w:lang w:val="en-US" w:eastAsia="zh-CN"/>
              </w:rPr>
              <w:t>答：</w:t>
            </w:r>
            <w:r>
              <w:rPr>
                <w:rFonts w:hint="eastAsia"/>
                <w:sz w:val="24"/>
                <w:szCs w:val="24"/>
                <w:highlight w:val="none"/>
                <w:lang w:val="en-US" w:eastAsia="zh-CN"/>
              </w:rPr>
              <w:t>公司积极布局高性能聚合物产品，具体产品包括热塑性聚酰亚胺产品（包括PEI、TPI、PI-5218）、聚醚醚酮（PEEK）以及高温尼龙（PA46）五大类，其中PEI、TPI、PI-5218均已实现产品销售；PEEK材料已有中试产品产出，正在进行产品下游市场推广与验证工作；PA46正处于实验室开发及验证阶段。</w:t>
            </w:r>
          </w:p>
          <w:p w14:paraId="6E9FF951">
            <w:pPr>
              <w:pStyle w:val="2"/>
              <w:ind w:left="0" w:leftChars="0" w:firstLine="0" w:firstLineChars="0"/>
              <w:rPr>
                <w:rFonts w:hint="default" w:ascii="宋体" w:hAnsi="宋体" w:eastAsia="宋体" w:cs="宋体"/>
                <w:sz w:val="24"/>
                <w:szCs w:val="24"/>
                <w:lang w:val="en-US" w:eastAsia="zh-CN"/>
              </w:rPr>
            </w:pPr>
          </w:p>
        </w:tc>
      </w:tr>
      <w:tr w14:paraId="66C3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798" w:type="dxa"/>
            <w:tcBorders>
              <w:top w:val="single" w:color="auto" w:sz="4" w:space="0"/>
              <w:left w:val="single" w:color="auto" w:sz="4" w:space="0"/>
              <w:bottom w:val="single" w:color="auto" w:sz="4" w:space="0"/>
              <w:right w:val="single" w:color="auto" w:sz="4" w:space="0"/>
            </w:tcBorders>
            <w:vAlign w:val="top"/>
          </w:tcPr>
          <w:p w14:paraId="689152C1">
            <w:pPr>
              <w:spacing w:line="480" w:lineRule="atLeast"/>
              <w:rPr>
                <w:rFonts w:ascii="宋体"/>
                <w:color w:val="000000"/>
                <w:kern w:val="0"/>
                <w:sz w:val="24"/>
                <w:szCs w:val="24"/>
              </w:rPr>
            </w:pPr>
            <w:r>
              <w:rPr>
                <w:rFonts w:hint="eastAsia" w:ascii="仿宋" w:hAnsi="仿宋"/>
                <w:bCs/>
                <w:iCs/>
                <w:color w:val="000000"/>
                <w:sz w:val="24"/>
                <w:szCs w:val="24"/>
              </w:rPr>
              <w:t>关于本次活动是否涉及应披露重大信息的说明</w:t>
            </w:r>
          </w:p>
        </w:tc>
        <w:tc>
          <w:tcPr>
            <w:tcW w:w="7800" w:type="dxa"/>
            <w:tcBorders>
              <w:top w:val="single" w:color="auto" w:sz="4" w:space="0"/>
              <w:left w:val="single" w:color="auto" w:sz="4" w:space="0"/>
              <w:bottom w:val="single" w:color="auto" w:sz="4" w:space="0"/>
              <w:right w:val="single" w:color="auto" w:sz="4" w:space="0"/>
            </w:tcBorders>
            <w:vAlign w:val="center"/>
          </w:tcPr>
          <w:p w14:paraId="266999CF">
            <w:pPr>
              <w:spacing w:line="480" w:lineRule="atLeast"/>
              <w:jc w:val="both"/>
              <w:rPr>
                <w:rFonts w:hint="eastAsia" w:ascii="宋体" w:eastAsia="宋体"/>
                <w:color w:val="000000"/>
                <w:kern w:val="0"/>
                <w:sz w:val="24"/>
                <w:szCs w:val="24"/>
                <w:lang w:val="en-US" w:eastAsia="zh-CN"/>
              </w:rPr>
            </w:pPr>
            <w:r>
              <w:rPr>
                <w:rFonts w:hint="eastAsia" w:ascii="宋体"/>
                <w:color w:val="000000"/>
                <w:kern w:val="0"/>
                <w:sz w:val="24"/>
                <w:szCs w:val="24"/>
                <w:lang w:val="en-US" w:eastAsia="zh-CN"/>
              </w:rPr>
              <w:t>否</w:t>
            </w:r>
          </w:p>
        </w:tc>
      </w:tr>
      <w:tr w14:paraId="118E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798" w:type="dxa"/>
            <w:tcBorders>
              <w:top w:val="single" w:color="auto" w:sz="4" w:space="0"/>
              <w:left w:val="single" w:color="auto" w:sz="4" w:space="0"/>
              <w:bottom w:val="single" w:color="auto" w:sz="4" w:space="0"/>
              <w:right w:val="single" w:color="auto" w:sz="4" w:space="0"/>
            </w:tcBorders>
            <w:vAlign w:val="top"/>
          </w:tcPr>
          <w:p w14:paraId="7D4A6C60">
            <w:pPr>
              <w:spacing w:line="480" w:lineRule="atLeast"/>
              <w:rPr>
                <w:rFonts w:ascii="宋体"/>
                <w:color w:val="000000"/>
                <w:kern w:val="0"/>
                <w:sz w:val="24"/>
                <w:szCs w:val="24"/>
              </w:rPr>
            </w:pPr>
            <w:r>
              <w:rPr>
                <w:rFonts w:hint="eastAsia" w:ascii="仿宋" w:hAnsi="仿宋"/>
                <w:bCs/>
                <w:iCs/>
                <w:color w:val="000000"/>
                <w:sz w:val="24"/>
                <w:szCs w:val="24"/>
              </w:rPr>
              <w:t>活动过程中所使用的演示文稿、提供的文档等附件（如有，可作为附件）</w:t>
            </w:r>
          </w:p>
        </w:tc>
        <w:tc>
          <w:tcPr>
            <w:tcW w:w="7800" w:type="dxa"/>
            <w:tcBorders>
              <w:top w:val="single" w:color="auto" w:sz="4" w:space="0"/>
              <w:left w:val="single" w:color="auto" w:sz="4" w:space="0"/>
              <w:bottom w:val="single" w:color="auto" w:sz="4" w:space="0"/>
              <w:right w:val="single" w:color="auto" w:sz="4" w:space="0"/>
            </w:tcBorders>
            <w:vAlign w:val="center"/>
          </w:tcPr>
          <w:p w14:paraId="769DC047">
            <w:pPr>
              <w:spacing w:line="480" w:lineRule="atLeast"/>
              <w:jc w:val="both"/>
              <w:rPr>
                <w:rFonts w:hint="eastAsia" w:ascii="宋体" w:eastAsia="宋体"/>
                <w:color w:val="000000"/>
                <w:kern w:val="0"/>
                <w:sz w:val="24"/>
                <w:szCs w:val="24"/>
                <w:lang w:val="en-US" w:eastAsia="zh-CN"/>
              </w:rPr>
            </w:pPr>
            <w:r>
              <w:rPr>
                <w:rFonts w:hint="eastAsia" w:ascii="宋体" w:hAnsi="宋体" w:eastAsia="宋体" w:cs="宋体"/>
                <w:color w:val="000000"/>
                <w:kern w:val="0"/>
                <w:sz w:val="24"/>
                <w:szCs w:val="24"/>
                <w:lang w:val="en-US" w:eastAsia="zh-CN"/>
              </w:rPr>
              <w:t>无</w:t>
            </w:r>
          </w:p>
        </w:tc>
      </w:tr>
    </w:tbl>
    <w:p w14:paraId="1A426D14">
      <w:pPr>
        <w:rPr>
          <w:rFonts w:hint="eastAsia"/>
        </w:rPr>
      </w:pPr>
    </w:p>
    <w:sectPr>
      <w:footerReference r:id="rId3" w:type="default"/>
      <w:pgSz w:w="11906" w:h="16838"/>
      <w:pgMar w:top="1440" w:right="851" w:bottom="144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43B9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283410">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fill on="f" focussize="0,0"/>
              <v:stroke on="f"/>
              <v:imagedata o:title=""/>
              <o:lock v:ext="edit" aspectratio="f"/>
              <v:textbox inset="0mm,0mm,0mm,0mm" style="mso-fit-shape-to-text:t;">
                <w:txbxContent>
                  <w:p w14:paraId="66283410">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YTY1MDhjYTc2NWQ5Yjg5OTA3MDQ1YmQ0MWRiOTAifQ=="/>
  </w:docVars>
  <w:rsids>
    <w:rsidRoot w:val="00667B39"/>
    <w:rsid w:val="000006D2"/>
    <w:rsid w:val="0000662B"/>
    <w:rsid w:val="0001122A"/>
    <w:rsid w:val="000172B8"/>
    <w:rsid w:val="000203E4"/>
    <w:rsid w:val="00022837"/>
    <w:rsid w:val="000242AB"/>
    <w:rsid w:val="000307CD"/>
    <w:rsid w:val="00030DBB"/>
    <w:rsid w:val="0003238E"/>
    <w:rsid w:val="00035B8C"/>
    <w:rsid w:val="00036CE0"/>
    <w:rsid w:val="00037A4D"/>
    <w:rsid w:val="00037DF7"/>
    <w:rsid w:val="00042B60"/>
    <w:rsid w:val="0004422B"/>
    <w:rsid w:val="00047176"/>
    <w:rsid w:val="00047EF7"/>
    <w:rsid w:val="00051BD8"/>
    <w:rsid w:val="00053492"/>
    <w:rsid w:val="00054852"/>
    <w:rsid w:val="0005497F"/>
    <w:rsid w:val="00060E7F"/>
    <w:rsid w:val="000638BF"/>
    <w:rsid w:val="00064BB5"/>
    <w:rsid w:val="00066E9D"/>
    <w:rsid w:val="00070A73"/>
    <w:rsid w:val="00071AC7"/>
    <w:rsid w:val="00077A5F"/>
    <w:rsid w:val="00082672"/>
    <w:rsid w:val="00092CE9"/>
    <w:rsid w:val="00094029"/>
    <w:rsid w:val="000A22B7"/>
    <w:rsid w:val="000A3CAE"/>
    <w:rsid w:val="000B1A35"/>
    <w:rsid w:val="000B71B7"/>
    <w:rsid w:val="000C13EA"/>
    <w:rsid w:val="000C3D6C"/>
    <w:rsid w:val="000D02E4"/>
    <w:rsid w:val="000D1BCD"/>
    <w:rsid w:val="000D4E8C"/>
    <w:rsid w:val="000E2C50"/>
    <w:rsid w:val="000E3EA5"/>
    <w:rsid w:val="000E50AC"/>
    <w:rsid w:val="000E717F"/>
    <w:rsid w:val="00101AD3"/>
    <w:rsid w:val="0010309D"/>
    <w:rsid w:val="0010495A"/>
    <w:rsid w:val="00110025"/>
    <w:rsid w:val="00115584"/>
    <w:rsid w:val="001200BA"/>
    <w:rsid w:val="00120A26"/>
    <w:rsid w:val="001311D8"/>
    <w:rsid w:val="00132D7B"/>
    <w:rsid w:val="00137710"/>
    <w:rsid w:val="00144D8D"/>
    <w:rsid w:val="0014579C"/>
    <w:rsid w:val="001469D8"/>
    <w:rsid w:val="0014705D"/>
    <w:rsid w:val="00162029"/>
    <w:rsid w:val="00163EDD"/>
    <w:rsid w:val="001642C3"/>
    <w:rsid w:val="00170897"/>
    <w:rsid w:val="00171EEE"/>
    <w:rsid w:val="00173EA4"/>
    <w:rsid w:val="00174FF1"/>
    <w:rsid w:val="00176460"/>
    <w:rsid w:val="001803E8"/>
    <w:rsid w:val="001807E5"/>
    <w:rsid w:val="00180BB8"/>
    <w:rsid w:val="001838F4"/>
    <w:rsid w:val="00192C6C"/>
    <w:rsid w:val="00194C05"/>
    <w:rsid w:val="001961F1"/>
    <w:rsid w:val="00196979"/>
    <w:rsid w:val="001973FD"/>
    <w:rsid w:val="001A15CB"/>
    <w:rsid w:val="001A59EA"/>
    <w:rsid w:val="001A5B65"/>
    <w:rsid w:val="001B584B"/>
    <w:rsid w:val="001B5E2E"/>
    <w:rsid w:val="001C2B11"/>
    <w:rsid w:val="001E1A30"/>
    <w:rsid w:val="001F0A62"/>
    <w:rsid w:val="001F17CF"/>
    <w:rsid w:val="001F2822"/>
    <w:rsid w:val="001F2BFE"/>
    <w:rsid w:val="001F2DE7"/>
    <w:rsid w:val="001F582B"/>
    <w:rsid w:val="0020228A"/>
    <w:rsid w:val="00202ED5"/>
    <w:rsid w:val="00204A5F"/>
    <w:rsid w:val="00206BDA"/>
    <w:rsid w:val="002103E8"/>
    <w:rsid w:val="002220B4"/>
    <w:rsid w:val="00224455"/>
    <w:rsid w:val="00235DA8"/>
    <w:rsid w:val="002372E2"/>
    <w:rsid w:val="00237334"/>
    <w:rsid w:val="0024257F"/>
    <w:rsid w:val="0024718E"/>
    <w:rsid w:val="002501B5"/>
    <w:rsid w:val="00251A09"/>
    <w:rsid w:val="00254EC0"/>
    <w:rsid w:val="00255BE3"/>
    <w:rsid w:val="002620BF"/>
    <w:rsid w:val="0027285B"/>
    <w:rsid w:val="002745E7"/>
    <w:rsid w:val="0027555D"/>
    <w:rsid w:val="00275CE7"/>
    <w:rsid w:val="00281E33"/>
    <w:rsid w:val="00283347"/>
    <w:rsid w:val="00284F8D"/>
    <w:rsid w:val="002942DF"/>
    <w:rsid w:val="002950FA"/>
    <w:rsid w:val="002A0593"/>
    <w:rsid w:val="002A13F7"/>
    <w:rsid w:val="002A5A89"/>
    <w:rsid w:val="002C1873"/>
    <w:rsid w:val="002C4489"/>
    <w:rsid w:val="002C61EA"/>
    <w:rsid w:val="002D0E14"/>
    <w:rsid w:val="002D19EB"/>
    <w:rsid w:val="002D4A75"/>
    <w:rsid w:val="002D5422"/>
    <w:rsid w:val="002D6389"/>
    <w:rsid w:val="002D6C33"/>
    <w:rsid w:val="002E3D32"/>
    <w:rsid w:val="002F71F1"/>
    <w:rsid w:val="00300FB9"/>
    <w:rsid w:val="00316295"/>
    <w:rsid w:val="0032322C"/>
    <w:rsid w:val="00327F48"/>
    <w:rsid w:val="0033441D"/>
    <w:rsid w:val="00353092"/>
    <w:rsid w:val="0035361B"/>
    <w:rsid w:val="00353A2F"/>
    <w:rsid w:val="00353EE0"/>
    <w:rsid w:val="00357593"/>
    <w:rsid w:val="003609D2"/>
    <w:rsid w:val="0037050D"/>
    <w:rsid w:val="00371867"/>
    <w:rsid w:val="00376D69"/>
    <w:rsid w:val="0037733E"/>
    <w:rsid w:val="0037786A"/>
    <w:rsid w:val="003804EF"/>
    <w:rsid w:val="00382D8F"/>
    <w:rsid w:val="00382E7F"/>
    <w:rsid w:val="00391FF1"/>
    <w:rsid w:val="003A0A03"/>
    <w:rsid w:val="003A0EDA"/>
    <w:rsid w:val="003A2190"/>
    <w:rsid w:val="003A2369"/>
    <w:rsid w:val="003B2038"/>
    <w:rsid w:val="003C39F2"/>
    <w:rsid w:val="003D09ED"/>
    <w:rsid w:val="003D1FDE"/>
    <w:rsid w:val="003D2C5F"/>
    <w:rsid w:val="003D39C1"/>
    <w:rsid w:val="003D607B"/>
    <w:rsid w:val="003D6FC6"/>
    <w:rsid w:val="003D756A"/>
    <w:rsid w:val="003E3573"/>
    <w:rsid w:val="003E785B"/>
    <w:rsid w:val="003F0DCF"/>
    <w:rsid w:val="003F2A8F"/>
    <w:rsid w:val="00402321"/>
    <w:rsid w:val="004031B9"/>
    <w:rsid w:val="00410CCD"/>
    <w:rsid w:val="00416994"/>
    <w:rsid w:val="004257E0"/>
    <w:rsid w:val="00427689"/>
    <w:rsid w:val="004310A5"/>
    <w:rsid w:val="0043338E"/>
    <w:rsid w:val="004408EB"/>
    <w:rsid w:val="004438FB"/>
    <w:rsid w:val="00444543"/>
    <w:rsid w:val="00451644"/>
    <w:rsid w:val="00460401"/>
    <w:rsid w:val="0046770A"/>
    <w:rsid w:val="00467AD3"/>
    <w:rsid w:val="004713E0"/>
    <w:rsid w:val="00473F6F"/>
    <w:rsid w:val="004744D3"/>
    <w:rsid w:val="004938D1"/>
    <w:rsid w:val="004A023A"/>
    <w:rsid w:val="004A07D4"/>
    <w:rsid w:val="004A0C36"/>
    <w:rsid w:val="004A23D6"/>
    <w:rsid w:val="004A2D3E"/>
    <w:rsid w:val="004B0ADA"/>
    <w:rsid w:val="004B2387"/>
    <w:rsid w:val="004B2640"/>
    <w:rsid w:val="004B2B92"/>
    <w:rsid w:val="004B2FD0"/>
    <w:rsid w:val="004B378E"/>
    <w:rsid w:val="004D4BB8"/>
    <w:rsid w:val="004E05D6"/>
    <w:rsid w:val="004E392E"/>
    <w:rsid w:val="004E6319"/>
    <w:rsid w:val="004E7077"/>
    <w:rsid w:val="004E7D37"/>
    <w:rsid w:val="004F00B9"/>
    <w:rsid w:val="004F0B1B"/>
    <w:rsid w:val="004F27E2"/>
    <w:rsid w:val="004F4A0E"/>
    <w:rsid w:val="004F598A"/>
    <w:rsid w:val="005048F1"/>
    <w:rsid w:val="005051A3"/>
    <w:rsid w:val="00505546"/>
    <w:rsid w:val="005069E1"/>
    <w:rsid w:val="00506F55"/>
    <w:rsid w:val="00512B3E"/>
    <w:rsid w:val="005220C9"/>
    <w:rsid w:val="0052342F"/>
    <w:rsid w:val="005260CF"/>
    <w:rsid w:val="005318A8"/>
    <w:rsid w:val="00533899"/>
    <w:rsid w:val="00534EF4"/>
    <w:rsid w:val="0053527F"/>
    <w:rsid w:val="00553665"/>
    <w:rsid w:val="00563B5D"/>
    <w:rsid w:val="0057298C"/>
    <w:rsid w:val="00573F2F"/>
    <w:rsid w:val="00576E8D"/>
    <w:rsid w:val="005830FD"/>
    <w:rsid w:val="00585FC7"/>
    <w:rsid w:val="00594CC3"/>
    <w:rsid w:val="005A15F4"/>
    <w:rsid w:val="005A4381"/>
    <w:rsid w:val="005A6411"/>
    <w:rsid w:val="005B12E8"/>
    <w:rsid w:val="005B5A94"/>
    <w:rsid w:val="005C6198"/>
    <w:rsid w:val="005D11D5"/>
    <w:rsid w:val="005D1669"/>
    <w:rsid w:val="005D2B16"/>
    <w:rsid w:val="005D561B"/>
    <w:rsid w:val="005D68CE"/>
    <w:rsid w:val="005E3475"/>
    <w:rsid w:val="005E3A24"/>
    <w:rsid w:val="005E6367"/>
    <w:rsid w:val="005F5437"/>
    <w:rsid w:val="00602422"/>
    <w:rsid w:val="0060397B"/>
    <w:rsid w:val="00614590"/>
    <w:rsid w:val="006163BC"/>
    <w:rsid w:val="006173DD"/>
    <w:rsid w:val="0062293A"/>
    <w:rsid w:val="00624D3B"/>
    <w:rsid w:val="00625874"/>
    <w:rsid w:val="00630E3D"/>
    <w:rsid w:val="00630E5E"/>
    <w:rsid w:val="006620D1"/>
    <w:rsid w:val="00667B39"/>
    <w:rsid w:val="00675481"/>
    <w:rsid w:val="006764DC"/>
    <w:rsid w:val="0068044A"/>
    <w:rsid w:val="0068263B"/>
    <w:rsid w:val="006912B8"/>
    <w:rsid w:val="006939C9"/>
    <w:rsid w:val="006A1E19"/>
    <w:rsid w:val="006B07EE"/>
    <w:rsid w:val="006B4194"/>
    <w:rsid w:val="006B74D9"/>
    <w:rsid w:val="006C3D58"/>
    <w:rsid w:val="006C4CD8"/>
    <w:rsid w:val="006C5081"/>
    <w:rsid w:val="006C587B"/>
    <w:rsid w:val="006C6102"/>
    <w:rsid w:val="006C6E6C"/>
    <w:rsid w:val="006C6E8F"/>
    <w:rsid w:val="006C78AF"/>
    <w:rsid w:val="006D039B"/>
    <w:rsid w:val="006D2828"/>
    <w:rsid w:val="006D34EE"/>
    <w:rsid w:val="006E0257"/>
    <w:rsid w:val="006E3EFA"/>
    <w:rsid w:val="006E5911"/>
    <w:rsid w:val="006E7466"/>
    <w:rsid w:val="006F5A21"/>
    <w:rsid w:val="00700F5D"/>
    <w:rsid w:val="007107FE"/>
    <w:rsid w:val="00711A36"/>
    <w:rsid w:val="00724897"/>
    <w:rsid w:val="00727D67"/>
    <w:rsid w:val="00727D86"/>
    <w:rsid w:val="007325BC"/>
    <w:rsid w:val="00737333"/>
    <w:rsid w:val="0073778C"/>
    <w:rsid w:val="0074142A"/>
    <w:rsid w:val="00743B15"/>
    <w:rsid w:val="007514AA"/>
    <w:rsid w:val="0075226B"/>
    <w:rsid w:val="0075390D"/>
    <w:rsid w:val="007568A3"/>
    <w:rsid w:val="007569D2"/>
    <w:rsid w:val="00757CA1"/>
    <w:rsid w:val="007620D8"/>
    <w:rsid w:val="00775CE3"/>
    <w:rsid w:val="007815AE"/>
    <w:rsid w:val="0079071E"/>
    <w:rsid w:val="00796E21"/>
    <w:rsid w:val="007A2D43"/>
    <w:rsid w:val="007A35BD"/>
    <w:rsid w:val="007A4407"/>
    <w:rsid w:val="007B283F"/>
    <w:rsid w:val="007B5623"/>
    <w:rsid w:val="007B7141"/>
    <w:rsid w:val="007C12B4"/>
    <w:rsid w:val="007C4A87"/>
    <w:rsid w:val="007C72B9"/>
    <w:rsid w:val="007D1519"/>
    <w:rsid w:val="007D2B12"/>
    <w:rsid w:val="007D3A11"/>
    <w:rsid w:val="007D47D9"/>
    <w:rsid w:val="007E08BC"/>
    <w:rsid w:val="007E2218"/>
    <w:rsid w:val="007E7101"/>
    <w:rsid w:val="007F5FC1"/>
    <w:rsid w:val="008002FE"/>
    <w:rsid w:val="008005C9"/>
    <w:rsid w:val="00804579"/>
    <w:rsid w:val="00813C12"/>
    <w:rsid w:val="0081728D"/>
    <w:rsid w:val="008212AE"/>
    <w:rsid w:val="00821E35"/>
    <w:rsid w:val="00825B20"/>
    <w:rsid w:val="00827ADE"/>
    <w:rsid w:val="008306B3"/>
    <w:rsid w:val="00830FAF"/>
    <w:rsid w:val="0083154D"/>
    <w:rsid w:val="00832B38"/>
    <w:rsid w:val="00840473"/>
    <w:rsid w:val="008409DE"/>
    <w:rsid w:val="0085174E"/>
    <w:rsid w:val="0085220F"/>
    <w:rsid w:val="00853839"/>
    <w:rsid w:val="00854D02"/>
    <w:rsid w:val="008551FE"/>
    <w:rsid w:val="00865A65"/>
    <w:rsid w:val="00873750"/>
    <w:rsid w:val="00876279"/>
    <w:rsid w:val="00877FCD"/>
    <w:rsid w:val="00884158"/>
    <w:rsid w:val="00885451"/>
    <w:rsid w:val="00886924"/>
    <w:rsid w:val="00886BCD"/>
    <w:rsid w:val="008919C5"/>
    <w:rsid w:val="0089382C"/>
    <w:rsid w:val="008A5789"/>
    <w:rsid w:val="008A76EA"/>
    <w:rsid w:val="008B2386"/>
    <w:rsid w:val="008D2631"/>
    <w:rsid w:val="008D49AF"/>
    <w:rsid w:val="008D5CC5"/>
    <w:rsid w:val="008D62C5"/>
    <w:rsid w:val="008D7D4E"/>
    <w:rsid w:val="008E0992"/>
    <w:rsid w:val="008E3D3B"/>
    <w:rsid w:val="008E4311"/>
    <w:rsid w:val="008E66C1"/>
    <w:rsid w:val="008E79AC"/>
    <w:rsid w:val="008F422A"/>
    <w:rsid w:val="009010A1"/>
    <w:rsid w:val="00902D94"/>
    <w:rsid w:val="00904F01"/>
    <w:rsid w:val="00905666"/>
    <w:rsid w:val="009076BD"/>
    <w:rsid w:val="00907C51"/>
    <w:rsid w:val="0091778F"/>
    <w:rsid w:val="009178F1"/>
    <w:rsid w:val="00923977"/>
    <w:rsid w:val="00926E97"/>
    <w:rsid w:val="00927A01"/>
    <w:rsid w:val="00933A75"/>
    <w:rsid w:val="00934747"/>
    <w:rsid w:val="00935414"/>
    <w:rsid w:val="00941F18"/>
    <w:rsid w:val="0094795F"/>
    <w:rsid w:val="0095207D"/>
    <w:rsid w:val="00953A41"/>
    <w:rsid w:val="00953FD5"/>
    <w:rsid w:val="00956108"/>
    <w:rsid w:val="00956B21"/>
    <w:rsid w:val="009601DC"/>
    <w:rsid w:val="00960262"/>
    <w:rsid w:val="009611B3"/>
    <w:rsid w:val="009660B3"/>
    <w:rsid w:val="00967395"/>
    <w:rsid w:val="00970739"/>
    <w:rsid w:val="00973050"/>
    <w:rsid w:val="0097344C"/>
    <w:rsid w:val="009748B1"/>
    <w:rsid w:val="009846B5"/>
    <w:rsid w:val="009865DC"/>
    <w:rsid w:val="009877E8"/>
    <w:rsid w:val="00987CFB"/>
    <w:rsid w:val="009A56B6"/>
    <w:rsid w:val="009B2F65"/>
    <w:rsid w:val="009B47CC"/>
    <w:rsid w:val="009C00D1"/>
    <w:rsid w:val="009C1309"/>
    <w:rsid w:val="009C1977"/>
    <w:rsid w:val="009C3D41"/>
    <w:rsid w:val="009D3C8A"/>
    <w:rsid w:val="009D4CD4"/>
    <w:rsid w:val="009E79AA"/>
    <w:rsid w:val="009F3091"/>
    <w:rsid w:val="009F37E4"/>
    <w:rsid w:val="00A02C4D"/>
    <w:rsid w:val="00A02FC1"/>
    <w:rsid w:val="00A03073"/>
    <w:rsid w:val="00A34431"/>
    <w:rsid w:val="00A36E3A"/>
    <w:rsid w:val="00A37A6B"/>
    <w:rsid w:val="00A416C8"/>
    <w:rsid w:val="00A45372"/>
    <w:rsid w:val="00A46090"/>
    <w:rsid w:val="00A51068"/>
    <w:rsid w:val="00A52042"/>
    <w:rsid w:val="00A5379D"/>
    <w:rsid w:val="00A53C87"/>
    <w:rsid w:val="00A56BB9"/>
    <w:rsid w:val="00A62A43"/>
    <w:rsid w:val="00A62EA6"/>
    <w:rsid w:val="00A72107"/>
    <w:rsid w:val="00A83BA6"/>
    <w:rsid w:val="00A85E27"/>
    <w:rsid w:val="00A87F9A"/>
    <w:rsid w:val="00A90354"/>
    <w:rsid w:val="00A94694"/>
    <w:rsid w:val="00A94835"/>
    <w:rsid w:val="00AA265C"/>
    <w:rsid w:val="00AB1321"/>
    <w:rsid w:val="00AB2658"/>
    <w:rsid w:val="00AC4358"/>
    <w:rsid w:val="00AC7B39"/>
    <w:rsid w:val="00AD0FA3"/>
    <w:rsid w:val="00AD2F38"/>
    <w:rsid w:val="00AE3043"/>
    <w:rsid w:val="00AE4AB2"/>
    <w:rsid w:val="00AF041F"/>
    <w:rsid w:val="00AF08B4"/>
    <w:rsid w:val="00AF647F"/>
    <w:rsid w:val="00B11D5B"/>
    <w:rsid w:val="00B16769"/>
    <w:rsid w:val="00B17399"/>
    <w:rsid w:val="00B1756A"/>
    <w:rsid w:val="00B31DD1"/>
    <w:rsid w:val="00B4357C"/>
    <w:rsid w:val="00B45B2C"/>
    <w:rsid w:val="00B47300"/>
    <w:rsid w:val="00B52C4E"/>
    <w:rsid w:val="00B53463"/>
    <w:rsid w:val="00B55546"/>
    <w:rsid w:val="00B6698B"/>
    <w:rsid w:val="00B672F1"/>
    <w:rsid w:val="00B70D2C"/>
    <w:rsid w:val="00B77A5D"/>
    <w:rsid w:val="00B80897"/>
    <w:rsid w:val="00B83E32"/>
    <w:rsid w:val="00B8548B"/>
    <w:rsid w:val="00B8557E"/>
    <w:rsid w:val="00B95435"/>
    <w:rsid w:val="00B96E99"/>
    <w:rsid w:val="00BA0D3C"/>
    <w:rsid w:val="00BA6501"/>
    <w:rsid w:val="00BB0D6D"/>
    <w:rsid w:val="00BB1192"/>
    <w:rsid w:val="00BB1D25"/>
    <w:rsid w:val="00BB4DA0"/>
    <w:rsid w:val="00BB7C61"/>
    <w:rsid w:val="00BC1A08"/>
    <w:rsid w:val="00BC39BF"/>
    <w:rsid w:val="00BC4579"/>
    <w:rsid w:val="00BC58BF"/>
    <w:rsid w:val="00BC5D02"/>
    <w:rsid w:val="00BD0F38"/>
    <w:rsid w:val="00BD4277"/>
    <w:rsid w:val="00BD5BDB"/>
    <w:rsid w:val="00BD7329"/>
    <w:rsid w:val="00BE4F04"/>
    <w:rsid w:val="00BE5ADA"/>
    <w:rsid w:val="00BF0318"/>
    <w:rsid w:val="00BF153A"/>
    <w:rsid w:val="00BF335D"/>
    <w:rsid w:val="00BF5C1A"/>
    <w:rsid w:val="00BF64E3"/>
    <w:rsid w:val="00BF7D1E"/>
    <w:rsid w:val="00C0603D"/>
    <w:rsid w:val="00C06FE0"/>
    <w:rsid w:val="00C1004C"/>
    <w:rsid w:val="00C215A4"/>
    <w:rsid w:val="00C3204D"/>
    <w:rsid w:val="00C3270B"/>
    <w:rsid w:val="00C3276A"/>
    <w:rsid w:val="00C33D54"/>
    <w:rsid w:val="00C35A0B"/>
    <w:rsid w:val="00C42C41"/>
    <w:rsid w:val="00C43924"/>
    <w:rsid w:val="00C45321"/>
    <w:rsid w:val="00C4789C"/>
    <w:rsid w:val="00C50BB6"/>
    <w:rsid w:val="00C54E1F"/>
    <w:rsid w:val="00C63FB1"/>
    <w:rsid w:val="00C65723"/>
    <w:rsid w:val="00C66BE7"/>
    <w:rsid w:val="00C66FEC"/>
    <w:rsid w:val="00C70DB8"/>
    <w:rsid w:val="00C80B06"/>
    <w:rsid w:val="00C85E12"/>
    <w:rsid w:val="00CA0710"/>
    <w:rsid w:val="00CA0B74"/>
    <w:rsid w:val="00CA12D9"/>
    <w:rsid w:val="00CA3232"/>
    <w:rsid w:val="00CA3408"/>
    <w:rsid w:val="00CB135C"/>
    <w:rsid w:val="00CB2286"/>
    <w:rsid w:val="00CB37CC"/>
    <w:rsid w:val="00CB4750"/>
    <w:rsid w:val="00CB5967"/>
    <w:rsid w:val="00CB7FB3"/>
    <w:rsid w:val="00CC7EEB"/>
    <w:rsid w:val="00CD1672"/>
    <w:rsid w:val="00CD5BF9"/>
    <w:rsid w:val="00CD7EBB"/>
    <w:rsid w:val="00CE3CAE"/>
    <w:rsid w:val="00CF3B78"/>
    <w:rsid w:val="00CF4FC4"/>
    <w:rsid w:val="00CF515F"/>
    <w:rsid w:val="00D0055B"/>
    <w:rsid w:val="00D04DF5"/>
    <w:rsid w:val="00D0761E"/>
    <w:rsid w:val="00D14355"/>
    <w:rsid w:val="00D152C5"/>
    <w:rsid w:val="00D255FE"/>
    <w:rsid w:val="00D31052"/>
    <w:rsid w:val="00D334AD"/>
    <w:rsid w:val="00D4376A"/>
    <w:rsid w:val="00D443DA"/>
    <w:rsid w:val="00D44FF1"/>
    <w:rsid w:val="00D54119"/>
    <w:rsid w:val="00D555A8"/>
    <w:rsid w:val="00D56542"/>
    <w:rsid w:val="00D60485"/>
    <w:rsid w:val="00D6118E"/>
    <w:rsid w:val="00D643F0"/>
    <w:rsid w:val="00D67016"/>
    <w:rsid w:val="00D71101"/>
    <w:rsid w:val="00D7136F"/>
    <w:rsid w:val="00D74276"/>
    <w:rsid w:val="00D74BEC"/>
    <w:rsid w:val="00D763B6"/>
    <w:rsid w:val="00D76A7C"/>
    <w:rsid w:val="00D80691"/>
    <w:rsid w:val="00D825EA"/>
    <w:rsid w:val="00DA2035"/>
    <w:rsid w:val="00DA298E"/>
    <w:rsid w:val="00DA6493"/>
    <w:rsid w:val="00DA6E04"/>
    <w:rsid w:val="00DA7CC5"/>
    <w:rsid w:val="00DB5198"/>
    <w:rsid w:val="00DB6F09"/>
    <w:rsid w:val="00DB6FBD"/>
    <w:rsid w:val="00DC01B9"/>
    <w:rsid w:val="00DC50C3"/>
    <w:rsid w:val="00DC5718"/>
    <w:rsid w:val="00DD16CE"/>
    <w:rsid w:val="00DE5C73"/>
    <w:rsid w:val="00DE6BB4"/>
    <w:rsid w:val="00DF125C"/>
    <w:rsid w:val="00DF49C5"/>
    <w:rsid w:val="00E00655"/>
    <w:rsid w:val="00E055CA"/>
    <w:rsid w:val="00E0701C"/>
    <w:rsid w:val="00E23B1F"/>
    <w:rsid w:val="00E25696"/>
    <w:rsid w:val="00E306FF"/>
    <w:rsid w:val="00E34D08"/>
    <w:rsid w:val="00E52F3A"/>
    <w:rsid w:val="00E6410E"/>
    <w:rsid w:val="00E65F8E"/>
    <w:rsid w:val="00E72F9D"/>
    <w:rsid w:val="00E76C2E"/>
    <w:rsid w:val="00E82067"/>
    <w:rsid w:val="00E82F2B"/>
    <w:rsid w:val="00E854D6"/>
    <w:rsid w:val="00EA0CA1"/>
    <w:rsid w:val="00EA2D44"/>
    <w:rsid w:val="00EC126B"/>
    <w:rsid w:val="00EC1BF0"/>
    <w:rsid w:val="00EC2DEA"/>
    <w:rsid w:val="00EC38CE"/>
    <w:rsid w:val="00ED2C4A"/>
    <w:rsid w:val="00ED5A4C"/>
    <w:rsid w:val="00ED7645"/>
    <w:rsid w:val="00EE2B10"/>
    <w:rsid w:val="00EE30B8"/>
    <w:rsid w:val="00EF5F6D"/>
    <w:rsid w:val="00F062AE"/>
    <w:rsid w:val="00F108EB"/>
    <w:rsid w:val="00F15B44"/>
    <w:rsid w:val="00F16721"/>
    <w:rsid w:val="00F16F6E"/>
    <w:rsid w:val="00F215A3"/>
    <w:rsid w:val="00F23DBC"/>
    <w:rsid w:val="00F24B44"/>
    <w:rsid w:val="00F26BD1"/>
    <w:rsid w:val="00F320AF"/>
    <w:rsid w:val="00F32C82"/>
    <w:rsid w:val="00F33CB2"/>
    <w:rsid w:val="00F40D1E"/>
    <w:rsid w:val="00F443FA"/>
    <w:rsid w:val="00F50CC3"/>
    <w:rsid w:val="00F51BFB"/>
    <w:rsid w:val="00F549D5"/>
    <w:rsid w:val="00F569EB"/>
    <w:rsid w:val="00F71168"/>
    <w:rsid w:val="00F71B89"/>
    <w:rsid w:val="00F72FF4"/>
    <w:rsid w:val="00F77293"/>
    <w:rsid w:val="00F8335E"/>
    <w:rsid w:val="00F93888"/>
    <w:rsid w:val="00F96EFA"/>
    <w:rsid w:val="00F972CC"/>
    <w:rsid w:val="00F97688"/>
    <w:rsid w:val="00FA04B3"/>
    <w:rsid w:val="00FA10A5"/>
    <w:rsid w:val="00FA2186"/>
    <w:rsid w:val="00FA3D1D"/>
    <w:rsid w:val="00FB0ACB"/>
    <w:rsid w:val="00FB5DC6"/>
    <w:rsid w:val="00FB6BE9"/>
    <w:rsid w:val="00FC39D0"/>
    <w:rsid w:val="00FD2313"/>
    <w:rsid w:val="00FD321D"/>
    <w:rsid w:val="00FD7EEC"/>
    <w:rsid w:val="00FE2D52"/>
    <w:rsid w:val="00FE3ECB"/>
    <w:rsid w:val="00FE409D"/>
    <w:rsid w:val="00FE6C54"/>
    <w:rsid w:val="00FE6C60"/>
    <w:rsid w:val="00FE7BE7"/>
    <w:rsid w:val="00FE7D67"/>
    <w:rsid w:val="00FF3A17"/>
    <w:rsid w:val="00FF762E"/>
    <w:rsid w:val="019A7F0B"/>
    <w:rsid w:val="027007F3"/>
    <w:rsid w:val="02730BE3"/>
    <w:rsid w:val="02BD2550"/>
    <w:rsid w:val="02C6508F"/>
    <w:rsid w:val="02C728F6"/>
    <w:rsid w:val="030113F5"/>
    <w:rsid w:val="0318285A"/>
    <w:rsid w:val="03741989"/>
    <w:rsid w:val="03D81701"/>
    <w:rsid w:val="03F8160E"/>
    <w:rsid w:val="044B2C44"/>
    <w:rsid w:val="047E48DB"/>
    <w:rsid w:val="04A06BF0"/>
    <w:rsid w:val="04A70FD3"/>
    <w:rsid w:val="04E95920"/>
    <w:rsid w:val="051A2E33"/>
    <w:rsid w:val="051C3215"/>
    <w:rsid w:val="05334557"/>
    <w:rsid w:val="053F5429"/>
    <w:rsid w:val="05943EFC"/>
    <w:rsid w:val="061A2449"/>
    <w:rsid w:val="06641C6D"/>
    <w:rsid w:val="067508F8"/>
    <w:rsid w:val="06B57D92"/>
    <w:rsid w:val="06F42B68"/>
    <w:rsid w:val="070B6B66"/>
    <w:rsid w:val="07850651"/>
    <w:rsid w:val="07BD6D34"/>
    <w:rsid w:val="07EA49A8"/>
    <w:rsid w:val="08032A5C"/>
    <w:rsid w:val="083B23D6"/>
    <w:rsid w:val="085F0EEA"/>
    <w:rsid w:val="0884564C"/>
    <w:rsid w:val="08DB1887"/>
    <w:rsid w:val="09666E67"/>
    <w:rsid w:val="09DF1D71"/>
    <w:rsid w:val="0A1A2704"/>
    <w:rsid w:val="0A2D1021"/>
    <w:rsid w:val="0A3247AE"/>
    <w:rsid w:val="0A6842D0"/>
    <w:rsid w:val="0A86681F"/>
    <w:rsid w:val="0A990829"/>
    <w:rsid w:val="0AA213D0"/>
    <w:rsid w:val="0B0F3C25"/>
    <w:rsid w:val="0B216959"/>
    <w:rsid w:val="0B245255"/>
    <w:rsid w:val="0B6977BE"/>
    <w:rsid w:val="0B926E53"/>
    <w:rsid w:val="0BC612CA"/>
    <w:rsid w:val="0BEE077E"/>
    <w:rsid w:val="0C555818"/>
    <w:rsid w:val="0C6F00E5"/>
    <w:rsid w:val="0CA13776"/>
    <w:rsid w:val="0CAA75A8"/>
    <w:rsid w:val="0CB25CDE"/>
    <w:rsid w:val="0CD05AA6"/>
    <w:rsid w:val="0CFE21F2"/>
    <w:rsid w:val="0D356F4B"/>
    <w:rsid w:val="0D5E4FFE"/>
    <w:rsid w:val="0D600FCF"/>
    <w:rsid w:val="0D791CFB"/>
    <w:rsid w:val="0DBC53BA"/>
    <w:rsid w:val="0DCD3CC1"/>
    <w:rsid w:val="0DEA2376"/>
    <w:rsid w:val="0DEF454B"/>
    <w:rsid w:val="0DF85745"/>
    <w:rsid w:val="0E324052"/>
    <w:rsid w:val="0E3512E5"/>
    <w:rsid w:val="0E3E70D4"/>
    <w:rsid w:val="0E6B1369"/>
    <w:rsid w:val="0E757887"/>
    <w:rsid w:val="0E857AB1"/>
    <w:rsid w:val="0E8D1A19"/>
    <w:rsid w:val="0E9234E0"/>
    <w:rsid w:val="0EA72EE5"/>
    <w:rsid w:val="0EE26BBA"/>
    <w:rsid w:val="0EF41453"/>
    <w:rsid w:val="0F3D74C3"/>
    <w:rsid w:val="0FA514BA"/>
    <w:rsid w:val="0FD96623"/>
    <w:rsid w:val="0FE07621"/>
    <w:rsid w:val="1036507E"/>
    <w:rsid w:val="104D3A38"/>
    <w:rsid w:val="10553E29"/>
    <w:rsid w:val="1066544B"/>
    <w:rsid w:val="109E0DDB"/>
    <w:rsid w:val="10C6568F"/>
    <w:rsid w:val="10DA2114"/>
    <w:rsid w:val="10F8145A"/>
    <w:rsid w:val="11144B04"/>
    <w:rsid w:val="11276A50"/>
    <w:rsid w:val="114C42DF"/>
    <w:rsid w:val="1154294C"/>
    <w:rsid w:val="11550ABC"/>
    <w:rsid w:val="11694426"/>
    <w:rsid w:val="11755EC9"/>
    <w:rsid w:val="119412AA"/>
    <w:rsid w:val="11DA5C9E"/>
    <w:rsid w:val="11E61258"/>
    <w:rsid w:val="12303577"/>
    <w:rsid w:val="124A2743"/>
    <w:rsid w:val="1256088A"/>
    <w:rsid w:val="128A4197"/>
    <w:rsid w:val="12A70B6F"/>
    <w:rsid w:val="12EA5A64"/>
    <w:rsid w:val="131F36C0"/>
    <w:rsid w:val="13324B0D"/>
    <w:rsid w:val="133D2352"/>
    <w:rsid w:val="13510A26"/>
    <w:rsid w:val="137210FB"/>
    <w:rsid w:val="139A4DEB"/>
    <w:rsid w:val="139D6C77"/>
    <w:rsid w:val="13A147D1"/>
    <w:rsid w:val="1402620C"/>
    <w:rsid w:val="1452382D"/>
    <w:rsid w:val="14981F8C"/>
    <w:rsid w:val="14BA2ABB"/>
    <w:rsid w:val="14D52A43"/>
    <w:rsid w:val="14EA3162"/>
    <w:rsid w:val="14EE3DF9"/>
    <w:rsid w:val="15347683"/>
    <w:rsid w:val="153C4D6C"/>
    <w:rsid w:val="154F1BE5"/>
    <w:rsid w:val="15520505"/>
    <w:rsid w:val="156A0E75"/>
    <w:rsid w:val="156B2323"/>
    <w:rsid w:val="157F4A2C"/>
    <w:rsid w:val="15B463D1"/>
    <w:rsid w:val="15DF7350"/>
    <w:rsid w:val="161E0F3C"/>
    <w:rsid w:val="16372730"/>
    <w:rsid w:val="1672048A"/>
    <w:rsid w:val="16E017E8"/>
    <w:rsid w:val="171D25CE"/>
    <w:rsid w:val="172412C5"/>
    <w:rsid w:val="17317127"/>
    <w:rsid w:val="173F3534"/>
    <w:rsid w:val="1783099B"/>
    <w:rsid w:val="179C55A6"/>
    <w:rsid w:val="17D453EA"/>
    <w:rsid w:val="17E50678"/>
    <w:rsid w:val="180A4EC7"/>
    <w:rsid w:val="182131B0"/>
    <w:rsid w:val="18323CD2"/>
    <w:rsid w:val="188F52D8"/>
    <w:rsid w:val="18905EC6"/>
    <w:rsid w:val="191E4CF6"/>
    <w:rsid w:val="192B4E46"/>
    <w:rsid w:val="192C1EF2"/>
    <w:rsid w:val="1932639B"/>
    <w:rsid w:val="19A94011"/>
    <w:rsid w:val="19DF5378"/>
    <w:rsid w:val="19EA6AAF"/>
    <w:rsid w:val="1A1F1F70"/>
    <w:rsid w:val="1A2F1532"/>
    <w:rsid w:val="1A3D3083"/>
    <w:rsid w:val="1A3F6A06"/>
    <w:rsid w:val="1A7D6DE0"/>
    <w:rsid w:val="1A825539"/>
    <w:rsid w:val="1A9912AA"/>
    <w:rsid w:val="1AAE2DE5"/>
    <w:rsid w:val="1AC560CD"/>
    <w:rsid w:val="1AE24A3B"/>
    <w:rsid w:val="1B214C6B"/>
    <w:rsid w:val="1B316D83"/>
    <w:rsid w:val="1B356DB6"/>
    <w:rsid w:val="1B876A10"/>
    <w:rsid w:val="1B8C2F7C"/>
    <w:rsid w:val="1B943F24"/>
    <w:rsid w:val="1BC122E2"/>
    <w:rsid w:val="1BC57FBA"/>
    <w:rsid w:val="1C085966"/>
    <w:rsid w:val="1C135E39"/>
    <w:rsid w:val="1C290DB4"/>
    <w:rsid w:val="1C47643B"/>
    <w:rsid w:val="1C546ABE"/>
    <w:rsid w:val="1CAE1218"/>
    <w:rsid w:val="1CB304A3"/>
    <w:rsid w:val="1D103198"/>
    <w:rsid w:val="1D2321EC"/>
    <w:rsid w:val="1D5B621C"/>
    <w:rsid w:val="1D7031FC"/>
    <w:rsid w:val="1DA90758"/>
    <w:rsid w:val="1DD12BE8"/>
    <w:rsid w:val="1DE91751"/>
    <w:rsid w:val="1DF84E52"/>
    <w:rsid w:val="1E0A1364"/>
    <w:rsid w:val="1E213337"/>
    <w:rsid w:val="1E303A22"/>
    <w:rsid w:val="1E4D7D1B"/>
    <w:rsid w:val="1E51771F"/>
    <w:rsid w:val="1E5C39AD"/>
    <w:rsid w:val="1E7352C5"/>
    <w:rsid w:val="1EDD6BE3"/>
    <w:rsid w:val="1F2F21D1"/>
    <w:rsid w:val="1F3500CC"/>
    <w:rsid w:val="1F365B58"/>
    <w:rsid w:val="1F3709E9"/>
    <w:rsid w:val="1F6115C2"/>
    <w:rsid w:val="1FE25607"/>
    <w:rsid w:val="1FEC380D"/>
    <w:rsid w:val="1FF42923"/>
    <w:rsid w:val="200945ED"/>
    <w:rsid w:val="20121518"/>
    <w:rsid w:val="20373B5B"/>
    <w:rsid w:val="20505AC4"/>
    <w:rsid w:val="20862701"/>
    <w:rsid w:val="20EE356F"/>
    <w:rsid w:val="212E0344"/>
    <w:rsid w:val="213728EF"/>
    <w:rsid w:val="214F753C"/>
    <w:rsid w:val="215E6D8B"/>
    <w:rsid w:val="217A6760"/>
    <w:rsid w:val="21933ED0"/>
    <w:rsid w:val="21A06A9E"/>
    <w:rsid w:val="21C06A96"/>
    <w:rsid w:val="21FD4A41"/>
    <w:rsid w:val="22513605"/>
    <w:rsid w:val="225622DF"/>
    <w:rsid w:val="225C2CF9"/>
    <w:rsid w:val="22C439C0"/>
    <w:rsid w:val="22D74270"/>
    <w:rsid w:val="230307BE"/>
    <w:rsid w:val="23134566"/>
    <w:rsid w:val="23571023"/>
    <w:rsid w:val="236A5D28"/>
    <w:rsid w:val="236C13D9"/>
    <w:rsid w:val="237E1DAD"/>
    <w:rsid w:val="23AA0D33"/>
    <w:rsid w:val="23BF51D1"/>
    <w:rsid w:val="23F66FF6"/>
    <w:rsid w:val="24472ACE"/>
    <w:rsid w:val="24512A14"/>
    <w:rsid w:val="248D4283"/>
    <w:rsid w:val="24E355AC"/>
    <w:rsid w:val="250A56A8"/>
    <w:rsid w:val="25137FDA"/>
    <w:rsid w:val="251D48C1"/>
    <w:rsid w:val="25344AF2"/>
    <w:rsid w:val="25910871"/>
    <w:rsid w:val="25A93834"/>
    <w:rsid w:val="25BE3EA6"/>
    <w:rsid w:val="25CF26C5"/>
    <w:rsid w:val="260A0D42"/>
    <w:rsid w:val="26145057"/>
    <w:rsid w:val="262D1324"/>
    <w:rsid w:val="26331896"/>
    <w:rsid w:val="26373D44"/>
    <w:rsid w:val="267047E0"/>
    <w:rsid w:val="267B0D5C"/>
    <w:rsid w:val="26F45667"/>
    <w:rsid w:val="27420BCD"/>
    <w:rsid w:val="274D3FF5"/>
    <w:rsid w:val="27783593"/>
    <w:rsid w:val="27865728"/>
    <w:rsid w:val="279735E4"/>
    <w:rsid w:val="27C60B5C"/>
    <w:rsid w:val="282553C1"/>
    <w:rsid w:val="28E5500B"/>
    <w:rsid w:val="294735A4"/>
    <w:rsid w:val="29A42C9B"/>
    <w:rsid w:val="29D73847"/>
    <w:rsid w:val="29E125D8"/>
    <w:rsid w:val="2A0F1568"/>
    <w:rsid w:val="2A167B7D"/>
    <w:rsid w:val="2A2B593B"/>
    <w:rsid w:val="2A312225"/>
    <w:rsid w:val="2AB11139"/>
    <w:rsid w:val="2B022A53"/>
    <w:rsid w:val="2B0701C0"/>
    <w:rsid w:val="2B1A2428"/>
    <w:rsid w:val="2B1A5AD2"/>
    <w:rsid w:val="2B7A34E5"/>
    <w:rsid w:val="2B8E6D38"/>
    <w:rsid w:val="2B9A04A5"/>
    <w:rsid w:val="2BB721D6"/>
    <w:rsid w:val="2BC56137"/>
    <w:rsid w:val="2BF01901"/>
    <w:rsid w:val="2C074DC9"/>
    <w:rsid w:val="2C71470E"/>
    <w:rsid w:val="2CB5169A"/>
    <w:rsid w:val="2CC57E91"/>
    <w:rsid w:val="2CF663C7"/>
    <w:rsid w:val="2D197BD1"/>
    <w:rsid w:val="2D483CEA"/>
    <w:rsid w:val="2D63690A"/>
    <w:rsid w:val="2DB86270"/>
    <w:rsid w:val="2E0E3A53"/>
    <w:rsid w:val="2E4E396D"/>
    <w:rsid w:val="2E843077"/>
    <w:rsid w:val="2E88523B"/>
    <w:rsid w:val="2E9118B4"/>
    <w:rsid w:val="2ED24D92"/>
    <w:rsid w:val="2F123238"/>
    <w:rsid w:val="2F1D72A2"/>
    <w:rsid w:val="2F2C0562"/>
    <w:rsid w:val="2F724234"/>
    <w:rsid w:val="2F864494"/>
    <w:rsid w:val="303F5B52"/>
    <w:rsid w:val="30415886"/>
    <w:rsid w:val="31021EAA"/>
    <w:rsid w:val="3105531F"/>
    <w:rsid w:val="31565409"/>
    <w:rsid w:val="31607959"/>
    <w:rsid w:val="317A1ED5"/>
    <w:rsid w:val="32387149"/>
    <w:rsid w:val="323D4DDE"/>
    <w:rsid w:val="32466CAB"/>
    <w:rsid w:val="329806D7"/>
    <w:rsid w:val="32B670C6"/>
    <w:rsid w:val="32FF3174"/>
    <w:rsid w:val="33206B41"/>
    <w:rsid w:val="337B6F25"/>
    <w:rsid w:val="345F30E4"/>
    <w:rsid w:val="348833DA"/>
    <w:rsid w:val="34A528B9"/>
    <w:rsid w:val="35003060"/>
    <w:rsid w:val="35143992"/>
    <w:rsid w:val="351A3BB7"/>
    <w:rsid w:val="353111E8"/>
    <w:rsid w:val="3531463B"/>
    <w:rsid w:val="354F52BF"/>
    <w:rsid w:val="35564ADA"/>
    <w:rsid w:val="355C77D5"/>
    <w:rsid w:val="355D06F3"/>
    <w:rsid w:val="3586396A"/>
    <w:rsid w:val="35A3745C"/>
    <w:rsid w:val="36D36DF1"/>
    <w:rsid w:val="36E36908"/>
    <w:rsid w:val="372B32A4"/>
    <w:rsid w:val="37465C1B"/>
    <w:rsid w:val="37505E44"/>
    <w:rsid w:val="37C3625C"/>
    <w:rsid w:val="37C562CE"/>
    <w:rsid w:val="37FC482F"/>
    <w:rsid w:val="38614E77"/>
    <w:rsid w:val="38734AC4"/>
    <w:rsid w:val="387D2129"/>
    <w:rsid w:val="38821C97"/>
    <w:rsid w:val="3888313E"/>
    <w:rsid w:val="388B0FEE"/>
    <w:rsid w:val="38C53A27"/>
    <w:rsid w:val="39194744"/>
    <w:rsid w:val="391F701E"/>
    <w:rsid w:val="392340AF"/>
    <w:rsid w:val="392F2CE1"/>
    <w:rsid w:val="395767D6"/>
    <w:rsid w:val="396E6B72"/>
    <w:rsid w:val="3971644D"/>
    <w:rsid w:val="397359A3"/>
    <w:rsid w:val="39D9187B"/>
    <w:rsid w:val="39E624F9"/>
    <w:rsid w:val="3A1866FF"/>
    <w:rsid w:val="3AA40077"/>
    <w:rsid w:val="3AC65DE8"/>
    <w:rsid w:val="3ACA37D1"/>
    <w:rsid w:val="3AD63E15"/>
    <w:rsid w:val="3B1874C8"/>
    <w:rsid w:val="3B2657A5"/>
    <w:rsid w:val="3B3219C7"/>
    <w:rsid w:val="3B522A3F"/>
    <w:rsid w:val="3B967B1B"/>
    <w:rsid w:val="3B9E00AB"/>
    <w:rsid w:val="3BA76F73"/>
    <w:rsid w:val="3C74798C"/>
    <w:rsid w:val="3C8001AB"/>
    <w:rsid w:val="3CA40B9B"/>
    <w:rsid w:val="3CE103A5"/>
    <w:rsid w:val="3D023DA9"/>
    <w:rsid w:val="3D304DF3"/>
    <w:rsid w:val="3D3C39E9"/>
    <w:rsid w:val="3D3D5195"/>
    <w:rsid w:val="3D5809BF"/>
    <w:rsid w:val="3D5840B4"/>
    <w:rsid w:val="3D8056C1"/>
    <w:rsid w:val="3D8250CD"/>
    <w:rsid w:val="3D886B18"/>
    <w:rsid w:val="3D8D6C73"/>
    <w:rsid w:val="3DAA06EA"/>
    <w:rsid w:val="3DB72B10"/>
    <w:rsid w:val="3DD5450A"/>
    <w:rsid w:val="3E0428DD"/>
    <w:rsid w:val="3E686071"/>
    <w:rsid w:val="3EAA6D61"/>
    <w:rsid w:val="3EF2562A"/>
    <w:rsid w:val="3F081063"/>
    <w:rsid w:val="3F146478"/>
    <w:rsid w:val="3F334F59"/>
    <w:rsid w:val="3F474B64"/>
    <w:rsid w:val="3F6F58B5"/>
    <w:rsid w:val="3FC45529"/>
    <w:rsid w:val="3FC848E6"/>
    <w:rsid w:val="40072094"/>
    <w:rsid w:val="403E0A9D"/>
    <w:rsid w:val="40661336"/>
    <w:rsid w:val="406C16BC"/>
    <w:rsid w:val="40B23BE6"/>
    <w:rsid w:val="410A19BD"/>
    <w:rsid w:val="41134F23"/>
    <w:rsid w:val="412916E7"/>
    <w:rsid w:val="414E3A45"/>
    <w:rsid w:val="41874A60"/>
    <w:rsid w:val="41DC5E77"/>
    <w:rsid w:val="41E56D65"/>
    <w:rsid w:val="41F84D68"/>
    <w:rsid w:val="41FD5E23"/>
    <w:rsid w:val="422C3859"/>
    <w:rsid w:val="423D7C1E"/>
    <w:rsid w:val="42470693"/>
    <w:rsid w:val="424C4FE3"/>
    <w:rsid w:val="4258271B"/>
    <w:rsid w:val="425F073A"/>
    <w:rsid w:val="426E3DF0"/>
    <w:rsid w:val="426F64C9"/>
    <w:rsid w:val="42AC3492"/>
    <w:rsid w:val="42DE7246"/>
    <w:rsid w:val="433927C2"/>
    <w:rsid w:val="43892132"/>
    <w:rsid w:val="43E70741"/>
    <w:rsid w:val="44001A5E"/>
    <w:rsid w:val="446641FC"/>
    <w:rsid w:val="44746A0C"/>
    <w:rsid w:val="44BC1927"/>
    <w:rsid w:val="452A6F84"/>
    <w:rsid w:val="45652C74"/>
    <w:rsid w:val="456C67DF"/>
    <w:rsid w:val="45BD746F"/>
    <w:rsid w:val="45F469CB"/>
    <w:rsid w:val="46120782"/>
    <w:rsid w:val="463860E8"/>
    <w:rsid w:val="464253F9"/>
    <w:rsid w:val="46461124"/>
    <w:rsid w:val="466B182E"/>
    <w:rsid w:val="46784184"/>
    <w:rsid w:val="469524E8"/>
    <w:rsid w:val="46B42AA5"/>
    <w:rsid w:val="46F076EF"/>
    <w:rsid w:val="46F5605C"/>
    <w:rsid w:val="4715323E"/>
    <w:rsid w:val="47700CDF"/>
    <w:rsid w:val="479467E8"/>
    <w:rsid w:val="479B4CF7"/>
    <w:rsid w:val="47C344EE"/>
    <w:rsid w:val="47F87462"/>
    <w:rsid w:val="47FD127E"/>
    <w:rsid w:val="48025917"/>
    <w:rsid w:val="480A0199"/>
    <w:rsid w:val="480F2E5A"/>
    <w:rsid w:val="482663FF"/>
    <w:rsid w:val="48314608"/>
    <w:rsid w:val="484A6294"/>
    <w:rsid w:val="488F2CC7"/>
    <w:rsid w:val="48A01254"/>
    <w:rsid w:val="48A407E6"/>
    <w:rsid w:val="48CF371A"/>
    <w:rsid w:val="48E11D5B"/>
    <w:rsid w:val="48F50606"/>
    <w:rsid w:val="493756E2"/>
    <w:rsid w:val="494B1258"/>
    <w:rsid w:val="496550AC"/>
    <w:rsid w:val="49D46CB0"/>
    <w:rsid w:val="49F1338C"/>
    <w:rsid w:val="49F51014"/>
    <w:rsid w:val="49FA4CE4"/>
    <w:rsid w:val="49FC2FC3"/>
    <w:rsid w:val="4A2B243B"/>
    <w:rsid w:val="4A5B53B1"/>
    <w:rsid w:val="4AC736CE"/>
    <w:rsid w:val="4ACC30A4"/>
    <w:rsid w:val="4AF87B42"/>
    <w:rsid w:val="4B225D19"/>
    <w:rsid w:val="4B4A6C4E"/>
    <w:rsid w:val="4B544FB7"/>
    <w:rsid w:val="4B5654B0"/>
    <w:rsid w:val="4BE808F6"/>
    <w:rsid w:val="4C054C98"/>
    <w:rsid w:val="4C580C3F"/>
    <w:rsid w:val="4CD7691E"/>
    <w:rsid w:val="4D446FD7"/>
    <w:rsid w:val="4D4B538E"/>
    <w:rsid w:val="4D94520C"/>
    <w:rsid w:val="4DE638B8"/>
    <w:rsid w:val="4E0807A7"/>
    <w:rsid w:val="4E2116E9"/>
    <w:rsid w:val="4E4D5AC0"/>
    <w:rsid w:val="4E697FB9"/>
    <w:rsid w:val="4EBC7F3B"/>
    <w:rsid w:val="4F152684"/>
    <w:rsid w:val="4F2A55A9"/>
    <w:rsid w:val="4F2E0E0B"/>
    <w:rsid w:val="4F35568B"/>
    <w:rsid w:val="4F3651FA"/>
    <w:rsid w:val="4FB66684"/>
    <w:rsid w:val="4FD330CC"/>
    <w:rsid w:val="50203970"/>
    <w:rsid w:val="50681F00"/>
    <w:rsid w:val="506D4B31"/>
    <w:rsid w:val="507327CC"/>
    <w:rsid w:val="50D67354"/>
    <w:rsid w:val="50E503C3"/>
    <w:rsid w:val="51040E06"/>
    <w:rsid w:val="510F504C"/>
    <w:rsid w:val="51644DBE"/>
    <w:rsid w:val="51823F64"/>
    <w:rsid w:val="519438A1"/>
    <w:rsid w:val="51BC4CC0"/>
    <w:rsid w:val="51BE28E0"/>
    <w:rsid w:val="52333C45"/>
    <w:rsid w:val="524F71B5"/>
    <w:rsid w:val="52605BCA"/>
    <w:rsid w:val="52636DDD"/>
    <w:rsid w:val="52937031"/>
    <w:rsid w:val="52982FAE"/>
    <w:rsid w:val="53B1403B"/>
    <w:rsid w:val="53DE6777"/>
    <w:rsid w:val="53ED44A2"/>
    <w:rsid w:val="53EE523E"/>
    <w:rsid w:val="54B554B1"/>
    <w:rsid w:val="54E03962"/>
    <w:rsid w:val="54EF2081"/>
    <w:rsid w:val="54F34D0E"/>
    <w:rsid w:val="55270580"/>
    <w:rsid w:val="55312534"/>
    <w:rsid w:val="55332C91"/>
    <w:rsid w:val="559358EB"/>
    <w:rsid w:val="55A7171D"/>
    <w:rsid w:val="55AB3472"/>
    <w:rsid w:val="55F2156F"/>
    <w:rsid w:val="55F25B15"/>
    <w:rsid w:val="560046E0"/>
    <w:rsid w:val="561777E0"/>
    <w:rsid w:val="56243C73"/>
    <w:rsid w:val="56914577"/>
    <w:rsid w:val="56935787"/>
    <w:rsid w:val="56D73520"/>
    <w:rsid w:val="56FA7CF3"/>
    <w:rsid w:val="57A10134"/>
    <w:rsid w:val="57A85800"/>
    <w:rsid w:val="57AB79F3"/>
    <w:rsid w:val="57B0626D"/>
    <w:rsid w:val="57DA63DB"/>
    <w:rsid w:val="580D02D9"/>
    <w:rsid w:val="5821257B"/>
    <w:rsid w:val="582855AC"/>
    <w:rsid w:val="584D54A8"/>
    <w:rsid w:val="586D3040"/>
    <w:rsid w:val="58CC1700"/>
    <w:rsid w:val="58D671ED"/>
    <w:rsid w:val="596B63CD"/>
    <w:rsid w:val="59AC165F"/>
    <w:rsid w:val="59B4752E"/>
    <w:rsid w:val="59D24511"/>
    <w:rsid w:val="5A6715C3"/>
    <w:rsid w:val="5A7C4721"/>
    <w:rsid w:val="5A7E2423"/>
    <w:rsid w:val="5A807024"/>
    <w:rsid w:val="5A8E30BA"/>
    <w:rsid w:val="5AEC6F87"/>
    <w:rsid w:val="5B1416FF"/>
    <w:rsid w:val="5B3D7B01"/>
    <w:rsid w:val="5B9975C6"/>
    <w:rsid w:val="5BCD50F5"/>
    <w:rsid w:val="5C4C6F8A"/>
    <w:rsid w:val="5C4D5980"/>
    <w:rsid w:val="5C5D2B35"/>
    <w:rsid w:val="5C657C3C"/>
    <w:rsid w:val="5C730E0D"/>
    <w:rsid w:val="5C7737B4"/>
    <w:rsid w:val="5C7D754A"/>
    <w:rsid w:val="5D150984"/>
    <w:rsid w:val="5D1C04EB"/>
    <w:rsid w:val="5D201AFA"/>
    <w:rsid w:val="5DC44999"/>
    <w:rsid w:val="5E162269"/>
    <w:rsid w:val="5E3B6EAB"/>
    <w:rsid w:val="5E456928"/>
    <w:rsid w:val="5E650021"/>
    <w:rsid w:val="5EA031AD"/>
    <w:rsid w:val="5EA8566E"/>
    <w:rsid w:val="5F061262"/>
    <w:rsid w:val="5F2409AA"/>
    <w:rsid w:val="5F4B0614"/>
    <w:rsid w:val="5F5664BA"/>
    <w:rsid w:val="5F7672EE"/>
    <w:rsid w:val="60454DC6"/>
    <w:rsid w:val="60793D60"/>
    <w:rsid w:val="607A0FDF"/>
    <w:rsid w:val="609A77F3"/>
    <w:rsid w:val="60CD4EE0"/>
    <w:rsid w:val="61061A64"/>
    <w:rsid w:val="6111015C"/>
    <w:rsid w:val="61155538"/>
    <w:rsid w:val="616C090E"/>
    <w:rsid w:val="61AB611F"/>
    <w:rsid w:val="61CB421C"/>
    <w:rsid w:val="61E6022A"/>
    <w:rsid w:val="61ED403B"/>
    <w:rsid w:val="622E4B4F"/>
    <w:rsid w:val="62736B5C"/>
    <w:rsid w:val="62D61527"/>
    <w:rsid w:val="632D01EE"/>
    <w:rsid w:val="63406489"/>
    <w:rsid w:val="635C27BC"/>
    <w:rsid w:val="63612013"/>
    <w:rsid w:val="639C0FD0"/>
    <w:rsid w:val="64732979"/>
    <w:rsid w:val="64774C22"/>
    <w:rsid w:val="64930237"/>
    <w:rsid w:val="64DB0E6A"/>
    <w:rsid w:val="64E312EA"/>
    <w:rsid w:val="64FD1D2C"/>
    <w:rsid w:val="64FF0E37"/>
    <w:rsid w:val="6542378D"/>
    <w:rsid w:val="65564942"/>
    <w:rsid w:val="656A35BA"/>
    <w:rsid w:val="657955CE"/>
    <w:rsid w:val="65B11604"/>
    <w:rsid w:val="65CB044C"/>
    <w:rsid w:val="66093845"/>
    <w:rsid w:val="662078E9"/>
    <w:rsid w:val="665B44BF"/>
    <w:rsid w:val="66993CB4"/>
    <w:rsid w:val="66D43F13"/>
    <w:rsid w:val="66D54D8F"/>
    <w:rsid w:val="66DB6F61"/>
    <w:rsid w:val="67867F10"/>
    <w:rsid w:val="67904C08"/>
    <w:rsid w:val="67980EC5"/>
    <w:rsid w:val="67AB5116"/>
    <w:rsid w:val="67EB1084"/>
    <w:rsid w:val="68690C4B"/>
    <w:rsid w:val="68760BAE"/>
    <w:rsid w:val="68851407"/>
    <w:rsid w:val="68875844"/>
    <w:rsid w:val="68E34325"/>
    <w:rsid w:val="68E35FEE"/>
    <w:rsid w:val="68E97071"/>
    <w:rsid w:val="68F71C1C"/>
    <w:rsid w:val="68FE2FAA"/>
    <w:rsid w:val="690D36B5"/>
    <w:rsid w:val="69880E06"/>
    <w:rsid w:val="69BE41E9"/>
    <w:rsid w:val="69C90C5E"/>
    <w:rsid w:val="69EB17D5"/>
    <w:rsid w:val="6A7E0847"/>
    <w:rsid w:val="6A916FAB"/>
    <w:rsid w:val="6AF47BCB"/>
    <w:rsid w:val="6B1D05B6"/>
    <w:rsid w:val="6B5C0C74"/>
    <w:rsid w:val="6B6B0C05"/>
    <w:rsid w:val="6B7B29AF"/>
    <w:rsid w:val="6B947BF6"/>
    <w:rsid w:val="6BAF0A53"/>
    <w:rsid w:val="6C1D1CF9"/>
    <w:rsid w:val="6C284B26"/>
    <w:rsid w:val="6C420591"/>
    <w:rsid w:val="6C4938C9"/>
    <w:rsid w:val="6C893B72"/>
    <w:rsid w:val="6CA078E5"/>
    <w:rsid w:val="6CA11684"/>
    <w:rsid w:val="6CBB43F2"/>
    <w:rsid w:val="6CCF4627"/>
    <w:rsid w:val="6CFE24DC"/>
    <w:rsid w:val="6D22538C"/>
    <w:rsid w:val="6D56066E"/>
    <w:rsid w:val="6D781C7B"/>
    <w:rsid w:val="6D9B2892"/>
    <w:rsid w:val="6DAE06A1"/>
    <w:rsid w:val="6DD12A21"/>
    <w:rsid w:val="6E321185"/>
    <w:rsid w:val="6E500C00"/>
    <w:rsid w:val="6FE0105F"/>
    <w:rsid w:val="6FE729EA"/>
    <w:rsid w:val="6FF4486F"/>
    <w:rsid w:val="702D37D0"/>
    <w:rsid w:val="70527DA8"/>
    <w:rsid w:val="71145339"/>
    <w:rsid w:val="7119633D"/>
    <w:rsid w:val="712C5715"/>
    <w:rsid w:val="713570D8"/>
    <w:rsid w:val="715F2ECD"/>
    <w:rsid w:val="727437AD"/>
    <w:rsid w:val="72870EA5"/>
    <w:rsid w:val="728C67B5"/>
    <w:rsid w:val="72B959D5"/>
    <w:rsid w:val="72F53EEF"/>
    <w:rsid w:val="72FA299B"/>
    <w:rsid w:val="72FC5A4E"/>
    <w:rsid w:val="730A652D"/>
    <w:rsid w:val="73563827"/>
    <w:rsid w:val="735F29E1"/>
    <w:rsid w:val="736B17B5"/>
    <w:rsid w:val="74264B66"/>
    <w:rsid w:val="743957DE"/>
    <w:rsid w:val="743A395A"/>
    <w:rsid w:val="743B7742"/>
    <w:rsid w:val="74567B65"/>
    <w:rsid w:val="74795B53"/>
    <w:rsid w:val="74C005B7"/>
    <w:rsid w:val="74DE6A91"/>
    <w:rsid w:val="753B3B98"/>
    <w:rsid w:val="758F28D1"/>
    <w:rsid w:val="75CB791B"/>
    <w:rsid w:val="75D04F6C"/>
    <w:rsid w:val="75D716AE"/>
    <w:rsid w:val="75DB314A"/>
    <w:rsid w:val="766825A8"/>
    <w:rsid w:val="76945974"/>
    <w:rsid w:val="76AF107E"/>
    <w:rsid w:val="76BC57A9"/>
    <w:rsid w:val="76E856C9"/>
    <w:rsid w:val="76EA61F8"/>
    <w:rsid w:val="76F06230"/>
    <w:rsid w:val="770524AE"/>
    <w:rsid w:val="773311C7"/>
    <w:rsid w:val="77542ED2"/>
    <w:rsid w:val="775878D1"/>
    <w:rsid w:val="778237F5"/>
    <w:rsid w:val="77A512E4"/>
    <w:rsid w:val="77BD292C"/>
    <w:rsid w:val="77DC49B4"/>
    <w:rsid w:val="77F3346D"/>
    <w:rsid w:val="7826628B"/>
    <w:rsid w:val="78CD0CE6"/>
    <w:rsid w:val="79D405E1"/>
    <w:rsid w:val="79DE27F9"/>
    <w:rsid w:val="7A08390E"/>
    <w:rsid w:val="7A1C7C00"/>
    <w:rsid w:val="7A7B3281"/>
    <w:rsid w:val="7A7B7874"/>
    <w:rsid w:val="7AC62E9D"/>
    <w:rsid w:val="7AE87ACA"/>
    <w:rsid w:val="7AEC1440"/>
    <w:rsid w:val="7AEE5FE3"/>
    <w:rsid w:val="7B14584D"/>
    <w:rsid w:val="7B7975D4"/>
    <w:rsid w:val="7BF22BB4"/>
    <w:rsid w:val="7C21213C"/>
    <w:rsid w:val="7C2B005E"/>
    <w:rsid w:val="7CB144F2"/>
    <w:rsid w:val="7CBF0117"/>
    <w:rsid w:val="7D6E7503"/>
    <w:rsid w:val="7D6F2271"/>
    <w:rsid w:val="7D704111"/>
    <w:rsid w:val="7D9225A0"/>
    <w:rsid w:val="7DCA26A6"/>
    <w:rsid w:val="7DE86492"/>
    <w:rsid w:val="7DF516A8"/>
    <w:rsid w:val="7E2702BF"/>
    <w:rsid w:val="7E4416A8"/>
    <w:rsid w:val="7E5466DB"/>
    <w:rsid w:val="7E5734F8"/>
    <w:rsid w:val="7EAD25B9"/>
    <w:rsid w:val="7EC844CD"/>
    <w:rsid w:val="7ED64101"/>
    <w:rsid w:val="7EF3018C"/>
    <w:rsid w:val="7EF945F5"/>
    <w:rsid w:val="7F0F387B"/>
    <w:rsid w:val="7F2B79D2"/>
    <w:rsid w:val="7F620525"/>
    <w:rsid w:val="7FB72332"/>
    <w:rsid w:val="7FE62336"/>
    <w:rsid w:val="7FF260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样式"/>
    <w:basedOn w:val="1"/>
    <w:qFormat/>
    <w:uiPriority w:val="99"/>
    <w:pPr>
      <w:ind w:firstLine="200"/>
    </w:pPr>
    <w:rPr>
      <w:spacing w:val="16"/>
      <w:szCs w:val="24"/>
    </w:rPr>
  </w:style>
  <w:style w:type="paragraph" w:styleId="3">
    <w:name w:val="Document Map"/>
    <w:basedOn w:val="1"/>
    <w:semiHidden/>
    <w:qFormat/>
    <w:uiPriority w:val="0"/>
    <w:pPr>
      <w:shd w:val="clear" w:color="auto" w:fill="000080"/>
    </w:pPr>
  </w:style>
  <w:style w:type="paragraph" w:styleId="4">
    <w:name w:val="annotation text"/>
    <w:basedOn w:val="1"/>
    <w:link w:val="22"/>
    <w:semiHidden/>
    <w:qFormat/>
    <w:uiPriority w:val="0"/>
    <w:pPr>
      <w:jc w:val="left"/>
    </w:pPr>
    <w:rPr>
      <w:kern w:val="0"/>
    </w:rPr>
  </w:style>
  <w:style w:type="paragraph" w:styleId="5">
    <w:name w:val="Balloon Text"/>
    <w:basedOn w:val="1"/>
    <w:link w:val="23"/>
    <w:semiHidden/>
    <w:qFormat/>
    <w:uiPriority w:val="0"/>
    <w:rPr>
      <w:kern w:val="0"/>
      <w:sz w:val="18"/>
      <w:szCs w:val="18"/>
    </w:rPr>
  </w:style>
  <w:style w:type="paragraph" w:styleId="6">
    <w:name w:val="footer"/>
    <w:basedOn w:val="1"/>
    <w:link w:val="24"/>
    <w:semiHidden/>
    <w:qFormat/>
    <w:uiPriority w:val="0"/>
    <w:pPr>
      <w:tabs>
        <w:tab w:val="center" w:pos="4153"/>
        <w:tab w:val="right" w:pos="8306"/>
      </w:tabs>
      <w:snapToGrid w:val="0"/>
      <w:jc w:val="left"/>
    </w:pPr>
    <w:rPr>
      <w:kern w:val="0"/>
      <w:sz w:val="18"/>
      <w:szCs w:val="18"/>
    </w:rPr>
  </w:style>
  <w:style w:type="paragraph" w:styleId="7">
    <w:name w:val="header"/>
    <w:basedOn w:val="1"/>
    <w:link w:val="25"/>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annotation subject"/>
    <w:basedOn w:val="4"/>
    <w:next w:val="4"/>
    <w:link w:val="26"/>
    <w:semiHidden/>
    <w:qFormat/>
    <w:uiPriority w:val="0"/>
    <w:rPr>
      <w:b/>
      <w:bCs/>
    </w:rPr>
  </w:style>
  <w:style w:type="table" w:styleId="12">
    <w:name w:val="Table Grid"/>
    <w:basedOn w:val="11"/>
    <w:qFormat/>
    <w:uiPriority w:val="0"/>
    <w:pPr>
      <w:widowControl w:val="0"/>
      <w:jc w:val="both"/>
    </w:pPr>
    <w:rPr>
      <w:rFonts w:ascii="Times New Roman" w:hAnsi="Times New Roman"/>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locked/>
    <w:uiPriority w:val="0"/>
    <w:rPr>
      <w:b/>
      <w:bCs/>
    </w:rPr>
  </w:style>
  <w:style w:type="character" w:styleId="15">
    <w:name w:val="FollowedHyperlink"/>
    <w:basedOn w:val="13"/>
    <w:qFormat/>
    <w:uiPriority w:val="0"/>
    <w:rPr>
      <w:color w:val="333333"/>
      <w:u w:val="none"/>
    </w:rPr>
  </w:style>
  <w:style w:type="character" w:styleId="16">
    <w:name w:val="Emphasis"/>
    <w:basedOn w:val="13"/>
    <w:qFormat/>
    <w:locked/>
    <w:uiPriority w:val="0"/>
    <w:rPr>
      <w:color w:val="FF0000"/>
    </w:rPr>
  </w:style>
  <w:style w:type="character" w:styleId="17">
    <w:name w:val="Hyperlink"/>
    <w:basedOn w:val="13"/>
    <w:qFormat/>
    <w:uiPriority w:val="0"/>
    <w:rPr>
      <w:color w:val="333333"/>
      <w:u w:val="none"/>
    </w:rPr>
  </w:style>
  <w:style w:type="character" w:styleId="18">
    <w:name w:val="HTML Code"/>
    <w:basedOn w:val="13"/>
    <w:qFormat/>
    <w:uiPriority w:val="0"/>
    <w:rPr>
      <w:rFonts w:hint="default" w:ascii="monospace" w:hAnsi="monospace" w:eastAsia="monospace" w:cs="monospace"/>
      <w:sz w:val="21"/>
      <w:szCs w:val="21"/>
    </w:rPr>
  </w:style>
  <w:style w:type="character" w:styleId="19">
    <w:name w:val="annotation reference"/>
    <w:semiHidden/>
    <w:qFormat/>
    <w:uiPriority w:val="0"/>
    <w:rPr>
      <w:rFonts w:cs="Times New Roman"/>
      <w:sz w:val="21"/>
      <w:szCs w:val="21"/>
    </w:rPr>
  </w:style>
  <w:style w:type="character" w:styleId="20">
    <w:name w:val="HTML Keyboard"/>
    <w:basedOn w:val="13"/>
    <w:qFormat/>
    <w:uiPriority w:val="0"/>
    <w:rPr>
      <w:rFonts w:ascii="monospace" w:hAnsi="monospace" w:eastAsia="monospace" w:cs="monospace"/>
      <w:sz w:val="21"/>
      <w:szCs w:val="21"/>
    </w:rPr>
  </w:style>
  <w:style w:type="character" w:styleId="21">
    <w:name w:val="HTML Sample"/>
    <w:basedOn w:val="13"/>
    <w:qFormat/>
    <w:uiPriority w:val="0"/>
    <w:rPr>
      <w:rFonts w:hint="default" w:ascii="monospace" w:hAnsi="monospace" w:eastAsia="monospace" w:cs="monospace"/>
      <w:sz w:val="21"/>
      <w:szCs w:val="21"/>
    </w:rPr>
  </w:style>
  <w:style w:type="character" w:customStyle="1" w:styleId="22">
    <w:name w:val="批注文字 Char"/>
    <w:link w:val="4"/>
    <w:semiHidden/>
    <w:qFormat/>
    <w:locked/>
    <w:uiPriority w:val="0"/>
    <w:rPr>
      <w:rFonts w:ascii="Times New Roman" w:hAnsi="Times New Roman" w:cs="Times New Roman"/>
      <w:sz w:val="21"/>
      <w:szCs w:val="21"/>
    </w:rPr>
  </w:style>
  <w:style w:type="character" w:customStyle="1" w:styleId="23">
    <w:name w:val="批注框文本 Char"/>
    <w:link w:val="5"/>
    <w:semiHidden/>
    <w:qFormat/>
    <w:locked/>
    <w:uiPriority w:val="0"/>
    <w:rPr>
      <w:rFonts w:ascii="Times New Roman" w:hAnsi="Times New Roman" w:eastAsia="宋体" w:cs="Times New Roman"/>
      <w:sz w:val="18"/>
      <w:szCs w:val="18"/>
    </w:rPr>
  </w:style>
  <w:style w:type="character" w:customStyle="1" w:styleId="24">
    <w:name w:val="页脚 Char"/>
    <w:link w:val="6"/>
    <w:semiHidden/>
    <w:qFormat/>
    <w:locked/>
    <w:uiPriority w:val="0"/>
    <w:rPr>
      <w:rFonts w:ascii="Times New Roman" w:hAnsi="Times New Roman" w:eastAsia="宋体" w:cs="Times New Roman"/>
      <w:sz w:val="18"/>
      <w:szCs w:val="18"/>
    </w:rPr>
  </w:style>
  <w:style w:type="character" w:customStyle="1" w:styleId="25">
    <w:name w:val="页眉 Char"/>
    <w:link w:val="7"/>
    <w:semiHidden/>
    <w:qFormat/>
    <w:locked/>
    <w:uiPriority w:val="0"/>
    <w:rPr>
      <w:rFonts w:ascii="Times New Roman" w:hAnsi="Times New Roman" w:eastAsia="宋体" w:cs="Times New Roman"/>
      <w:sz w:val="18"/>
      <w:szCs w:val="18"/>
    </w:rPr>
  </w:style>
  <w:style w:type="character" w:customStyle="1" w:styleId="26">
    <w:name w:val="批注主题 Char"/>
    <w:link w:val="10"/>
    <w:semiHidden/>
    <w:qFormat/>
    <w:locked/>
    <w:uiPriority w:val="0"/>
    <w:rPr>
      <w:rFonts w:ascii="Times New Roman" w:hAnsi="Times New Roman" w:cs="Times New Roman"/>
      <w:b/>
      <w:bCs/>
      <w:sz w:val="21"/>
      <w:szCs w:val="21"/>
    </w:rPr>
  </w:style>
  <w:style w:type="character" w:customStyle="1" w:styleId="27">
    <w:name w:val="hot-question-icon"/>
    <w:basedOn w:val="13"/>
    <w:qFormat/>
    <w:uiPriority w:val="0"/>
    <w:rPr>
      <w:color w:val="FF0000"/>
    </w:rPr>
  </w:style>
  <w:style w:type="character" w:customStyle="1" w:styleId="28">
    <w:name w:val="info-content"/>
    <w:basedOn w:val="13"/>
    <w:qFormat/>
    <w:uiPriority w:val="0"/>
    <w:rPr>
      <w:color w:val="808080"/>
    </w:rPr>
  </w:style>
  <w:style w:type="character" w:customStyle="1" w:styleId="29">
    <w:name w:val="no-reply-icon"/>
    <w:basedOn w:val="13"/>
    <w:qFormat/>
    <w:uiPriority w:val="0"/>
    <w:rPr>
      <w:color w:val="BBC0CC"/>
      <w:bdr w:val="single" w:color="F8F8F8" w:sz="6" w:space="0"/>
      <w:shd w:val="clear" w:color="auto" w:fill="F8F8F8"/>
    </w:rPr>
  </w:style>
  <w:style w:type="character" w:customStyle="1" w:styleId="30">
    <w:name w:val="info-label"/>
    <w:basedOn w:val="13"/>
    <w:qFormat/>
    <w:uiPriority w:val="0"/>
    <w:rPr>
      <w:b/>
    </w:rPr>
  </w:style>
  <w:style w:type="character" w:customStyle="1" w:styleId="31">
    <w:name w:val="hover"/>
    <w:basedOn w:val="13"/>
    <w:qFormat/>
    <w:uiPriority w:val="0"/>
    <w:rPr>
      <w:color w:val="0077E6"/>
    </w:rPr>
  </w:style>
  <w:style w:type="character" w:customStyle="1" w:styleId="32">
    <w:name w:val="nth-child(3)"/>
    <w:basedOn w:val="13"/>
    <w:qFormat/>
    <w:uiPriority w:val="0"/>
  </w:style>
  <w:style w:type="character" w:customStyle="1" w:styleId="33">
    <w:name w:val="not([class*=suffix])"/>
    <w:basedOn w:val="13"/>
    <w:qFormat/>
    <w:uiPriority w:val="0"/>
    <w:rPr>
      <w:sz w:val="19"/>
      <w:szCs w:val="19"/>
    </w:rPr>
  </w:style>
  <w:style w:type="character" w:customStyle="1" w:styleId="34">
    <w:name w:val="current"/>
    <w:basedOn w:val="13"/>
    <w:qFormat/>
    <w:uiPriority w:val="0"/>
    <w:rPr>
      <w:color w:val="00C1DE"/>
    </w:rPr>
  </w:style>
  <w:style w:type="character" w:customStyle="1" w:styleId="35">
    <w:name w:val="flag-title"/>
    <w:basedOn w:val="13"/>
    <w:qFormat/>
    <w:uiPriority w:val="0"/>
    <w:rPr>
      <w:color w:val="8790A4"/>
      <w:sz w:val="18"/>
      <w:szCs w:val="18"/>
      <w:bdr w:val="dashed" w:color="E5E5E5" w:sz="6" w:space="0"/>
    </w:rPr>
  </w:style>
  <w:style w:type="character" w:customStyle="1" w:styleId="36">
    <w:name w:val="right"/>
    <w:basedOn w:val="13"/>
    <w:qFormat/>
    <w:uiPriority w:val="0"/>
    <w:rPr>
      <w:shd w:val="clear" w:color="auto" w:fill="E5E5E5"/>
    </w:rPr>
  </w:style>
  <w:style w:type="character" w:customStyle="1" w:styleId="37">
    <w:name w:val="nth-child(1)"/>
    <w:basedOn w:val="13"/>
    <w:qFormat/>
    <w:uiPriority w:val="0"/>
  </w:style>
  <w:style w:type="character" w:customStyle="1" w:styleId="38">
    <w:name w:val="new-question-icon"/>
    <w:basedOn w:val="13"/>
    <w:qFormat/>
    <w:uiPriority w:val="0"/>
    <w:rPr>
      <w:color w:val="F99403"/>
      <w:bdr w:val="single" w:color="FFF8E2" w:sz="6" w:space="0"/>
      <w:shd w:val="clear" w:color="auto" w:fill="FFF8E2"/>
    </w:rPr>
  </w:style>
  <w:style w:type="character" w:customStyle="1" w:styleId="39">
    <w:name w:val="current1"/>
    <w:basedOn w:val="13"/>
    <w:qFormat/>
    <w:uiPriority w:val="0"/>
    <w:rPr>
      <w:color w:val="00C1DE"/>
    </w:rPr>
  </w:style>
  <w:style w:type="character" w:customStyle="1" w:styleId="40">
    <w:name w:val="not([class*=suffix])1"/>
    <w:basedOn w:val="13"/>
    <w:qFormat/>
    <w:uiPriority w:val="0"/>
  </w:style>
  <w:style w:type="character" w:customStyle="1" w:styleId="41">
    <w:name w:val="nth-child(2)"/>
    <w:basedOn w:val="13"/>
    <w:qFormat/>
    <w:uiPriority w:val="0"/>
  </w:style>
  <w:style w:type="character" w:customStyle="1" w:styleId="42">
    <w:name w:val="hover7"/>
    <w:basedOn w:val="13"/>
    <w:qFormat/>
    <w:uiPriority w:val="0"/>
    <w:rPr>
      <w:color w:val="0077E6"/>
    </w:rPr>
  </w:style>
  <w:style w:type="character" w:customStyle="1" w:styleId="43">
    <w:name w:val="flag-title2"/>
    <w:basedOn w:val="13"/>
    <w:qFormat/>
    <w:uiPriority w:val="0"/>
    <w:rPr>
      <w:color w:val="8790A4"/>
      <w:sz w:val="18"/>
      <w:szCs w:val="18"/>
      <w:bdr w:val="dashed" w:color="E5E5E5" w:sz="6" w:space="0"/>
    </w:rPr>
  </w:style>
  <w:style w:type="paragraph" w:customStyle="1" w:styleId="44">
    <w:name w:val="Char Char1 Char Char 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pPr>
    <w:rPr>
      <w:rFonts w:ascii="Verdana" w:hAnsi="Verdana" w:cs="Verdana"/>
      <w:kern w:val="0"/>
      <w:sz w:val="22"/>
      <w:szCs w:val="22"/>
      <w:lang w:eastAsia="en-US"/>
    </w:rPr>
  </w:style>
  <w:style w:type="paragraph" w:styleId="45">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46">
    <w:name w:val=" Char Char1 Char Char 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pPr>
    <w:rPr>
      <w:szCs w:val="24"/>
    </w:rPr>
  </w:style>
  <w:style w:type="paragraph" w:customStyle="1" w:styleId="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1598</Words>
  <Characters>1676</Characters>
  <Lines>12</Lines>
  <Paragraphs>3</Paragraphs>
  <TotalTime>4</TotalTime>
  <ScaleCrop>false</ScaleCrop>
  <LinksUpToDate>false</LinksUpToDate>
  <CharactersWithSpaces>1839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2020-08-17T03:35:00Z</dcterms:created>
  <dc:creator>User</dc:creator>
  <cp:lastModifiedBy>whr</cp:lastModifiedBy>
  <cp:lastPrinted>2022-04-28T06:42:00Z</cp:lastPrinted>
  <dcterms:modified xsi:type="dcterms:W3CDTF">2025-06-26T09:22:12Z</dcterms:modified>
  <dc:title>证券代码：烟台万润                                  证券简称：002643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CB345B740A184DD3AADB778E7E08C70C_13</vt:lpwstr>
  </property>
  <property fmtid="{D5CDD505-2E9C-101B-9397-08002B2CF9AE}" pid="4" name="KSOTemplateDocerSaveRecord">
    <vt:lpwstr>eyJoZGlkIjoiYWM3M2QxNmI0YWI4NGYwYWVlOGVjZmVhZjQyYTBlYmMiLCJ1c2VySWQiOiI2MzI3MDU3ODgifQ==</vt:lpwstr>
  </property>
</Properties>
</file>